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0F" w:rsidRDefault="006274CB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Uchádzač</w:t>
      </w:r>
    </w:p>
    <w:p w:rsidR="003B530F" w:rsidRDefault="003B530F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3B530F" w:rsidRDefault="006274CB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3B530F" w:rsidRDefault="006274CB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3B530F" w:rsidRDefault="006274CB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3B530F" w:rsidRDefault="006274CB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3B530F" w:rsidRDefault="003B530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3B530F" w:rsidRDefault="003B530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3B530F" w:rsidRDefault="003B530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3B530F" w:rsidRDefault="003B530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3B530F" w:rsidRDefault="003B530F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:rsidR="003B530F" w:rsidRDefault="006274CB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„Verejné sociálne zariadenie v Dome kultúry mesta Handlová“</w:t>
      </w:r>
      <w:r>
        <w:rPr>
          <w:rFonts w:ascii="Arial" w:hAnsi="Arial"/>
          <w:sz w:val="20"/>
          <w:szCs w:val="20"/>
        </w:rPr>
        <w:t xml:space="preserve">, ktoré sú </w:t>
      </w:r>
      <w:r>
        <w:rPr>
          <w:rFonts w:ascii="Arial" w:hAnsi="Arial"/>
          <w:sz w:val="20"/>
          <w:szCs w:val="20"/>
        </w:rPr>
        <w:t>určené vo výzve na predloženie cenovej ponuky, jej prílohách a v iných dokumentoch poskytnutých verejným obstarávateľom v lehote na predkladanie ponúk;</w:t>
      </w:r>
    </w:p>
    <w:p w:rsidR="003B530F" w:rsidRDefault="006274C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som oprávnený uskutočňovať stavebné práce, ktoré zodpovedajú predmetu zákazky;</w:t>
      </w:r>
    </w:p>
    <w:p w:rsidR="003B530F" w:rsidRDefault="006274C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nemám </w:t>
      </w:r>
      <w:r>
        <w:rPr>
          <w:rFonts w:ascii="Arial" w:hAnsi="Arial"/>
          <w:sz w:val="20"/>
          <w:szCs w:val="20"/>
        </w:rPr>
        <w:t>uložený zákaz účasti vo verejnom obstarávaní potvrdený konečným rozhodnutím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 Slovenskej republike alebo v štáte sídla, miesta podnikania alebo obvyklého pobytu;</w:t>
      </w:r>
    </w:p>
    <w:p w:rsidR="003B530F" w:rsidRDefault="006274CB">
      <w:pPr>
        <w:pStyle w:val="Standarduser"/>
        <w:widowControl w:val="0"/>
        <w:tabs>
          <w:tab w:val="left" w:pos="1099"/>
        </w:tabs>
        <w:spacing w:line="276" w:lineRule="auto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</w:t>
      </w:r>
      <w:r>
        <w:rPr>
          <w:rFonts w:ascii="Arial" w:hAnsi="Arial"/>
          <w:sz w:val="20"/>
          <w:szCs w:val="20"/>
        </w:rPr>
        <w:t>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3B530F" w:rsidRDefault="006274C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 všetky predložené vyhlásenia, potvrdenia, doklady, dokumenty a údaje uvedené </w:t>
      </w:r>
      <w:r>
        <w:rPr>
          <w:rFonts w:ascii="Arial" w:hAnsi="Arial"/>
          <w:sz w:val="20"/>
          <w:szCs w:val="20"/>
        </w:rPr>
        <w:t>v ponuke sú pravdivé a úplné;</w:t>
      </w:r>
    </w:p>
    <w:p w:rsidR="003B530F" w:rsidRDefault="003B530F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:rsidR="003B530F" w:rsidRDefault="006274CB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dávam písomný súhlas so spracúvaním osobných údajov po dobu realizácie verejného obstarávania, realizácie zákazky a archivácie dokumentácie k verejnému obstarávaniu zákazky, v zmysle zákona č. 18/2018 Z. z. o och</w:t>
      </w:r>
      <w:r>
        <w:rPr>
          <w:rFonts w:ascii="Arial" w:eastAsia="Calibri" w:hAnsi="Arial"/>
          <w:sz w:val="20"/>
          <w:szCs w:val="20"/>
        </w:rPr>
        <w:t xml:space="preserve">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3B530F" w:rsidRDefault="006274C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:rsidR="003B530F" w:rsidRDefault="003B530F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:rsidR="003B530F" w:rsidRDefault="006274CB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</w:t>
      </w:r>
      <w:r>
        <w:rPr>
          <w:rFonts w:ascii="Arial" w:eastAsia="Calibri" w:hAnsi="Arial"/>
          <w:sz w:val="20"/>
          <w:szCs w:val="20"/>
        </w:rPr>
        <w:t>. 343/2015)Z. z. o verejnom obstarávaní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</w:t>
      </w:r>
      <w:r>
        <w:rPr>
          <w:rFonts w:ascii="Arial" w:eastAsia="Calibri" w:hAnsi="Arial"/>
          <w:sz w:val="20"/>
          <w:szCs w:val="20"/>
        </w:rPr>
        <w:t>Verejné sociálne zariadenie v Dome kultúry mesta Handlová“;</w:t>
      </w:r>
    </w:p>
    <w:p w:rsidR="003B530F" w:rsidRDefault="006274C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som neposkytol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so zadaním</w:t>
      </w:r>
      <w:r>
        <w:rPr>
          <w:rFonts w:ascii="Arial" w:eastAsia="Calibri" w:hAnsi="Arial"/>
          <w:sz w:val="20"/>
          <w:szCs w:val="20"/>
        </w:rPr>
        <w:t xml:space="preserve"> tejto zákazky;</w:t>
      </w:r>
    </w:p>
    <w:p w:rsidR="003B530F" w:rsidRDefault="006274C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3B530F" w:rsidRDefault="003B530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3B530F" w:rsidRDefault="003B530F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3B530F" w:rsidRDefault="006274CB">
      <w:pPr>
        <w:pStyle w:val="Standarduser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</w:t>
      </w:r>
      <w:r>
        <w:rPr>
          <w:rFonts w:ascii="Arial" w:eastAsia="Calibri" w:hAnsi="Arial"/>
          <w:sz w:val="20"/>
          <w:szCs w:val="20"/>
        </w:rPr>
        <w:t>....................................................................</w:t>
      </w:r>
    </w:p>
    <w:p w:rsidR="003B530F" w:rsidRDefault="006274CB">
      <w:pPr>
        <w:pStyle w:val="Standarduser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3B530F" w:rsidRDefault="006274CB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3B530F">
      <w:footerReference w:type="default" r:id="rId7"/>
      <w:pgSz w:w="11906" w:h="16838"/>
      <w:pgMar w:top="1418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CB" w:rsidRDefault="006274CB">
      <w:pPr>
        <w:rPr>
          <w:rFonts w:hint="eastAsia"/>
        </w:rPr>
      </w:pPr>
      <w:r>
        <w:separator/>
      </w:r>
    </w:p>
  </w:endnote>
  <w:endnote w:type="continuationSeparator" w:id="0">
    <w:p w:rsidR="006274CB" w:rsidRDefault="006274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B5" w:rsidRDefault="006274CB">
    <w:pPr>
      <w:pStyle w:val="Pta"/>
      <w:rPr>
        <w:rFonts w:ascii="Arial" w:hAnsi="Arial"/>
        <w:sz w:val="16"/>
        <w:szCs w:val="16"/>
      </w:rPr>
    </w:pPr>
  </w:p>
  <w:p w:rsidR="004A4FB5" w:rsidRDefault="006274CB">
    <w:pPr>
      <w:pStyle w:val="Pta"/>
      <w:jc w:val="right"/>
      <w:rPr>
        <w:sz w:val="16"/>
        <w:szCs w:val="16"/>
      </w:rPr>
    </w:pPr>
    <w:r>
      <w:rPr>
        <w:sz w:val="16"/>
        <w:szCs w:val="16"/>
      </w:rPr>
      <w:t xml:space="preserve">  </w:t>
    </w:r>
  </w:p>
  <w:p w:rsidR="004A4FB5" w:rsidRDefault="006274CB">
    <w:pPr>
      <w:pStyle w:val="Pta"/>
      <w:jc w:val="right"/>
      <w:rPr>
        <w:rFonts w:ascii="Arial" w:hAnsi="Arial"/>
        <w:sz w:val="16"/>
        <w:szCs w:val="16"/>
      </w:rPr>
    </w:pPr>
  </w:p>
  <w:p w:rsidR="004A4FB5" w:rsidRDefault="006274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CB" w:rsidRDefault="006274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74CB" w:rsidRDefault="006274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605"/>
    <w:multiLevelType w:val="multilevel"/>
    <w:tmpl w:val="7474E1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C81579"/>
    <w:multiLevelType w:val="multilevel"/>
    <w:tmpl w:val="0B3EBD9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49D7A9C"/>
    <w:multiLevelType w:val="multilevel"/>
    <w:tmpl w:val="064E1A8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5821E25"/>
    <w:multiLevelType w:val="multilevel"/>
    <w:tmpl w:val="718EBC1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B4A6D3A"/>
    <w:multiLevelType w:val="multilevel"/>
    <w:tmpl w:val="216C9D3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814FB5"/>
    <w:multiLevelType w:val="multilevel"/>
    <w:tmpl w:val="0E96F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9E2A49"/>
    <w:multiLevelType w:val="multilevel"/>
    <w:tmpl w:val="C1F20E62"/>
    <w:styleLink w:val="WW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48C35C9"/>
    <w:multiLevelType w:val="multilevel"/>
    <w:tmpl w:val="468000D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7E95CD1"/>
    <w:multiLevelType w:val="multilevel"/>
    <w:tmpl w:val="F040907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8A16F7C"/>
    <w:multiLevelType w:val="multilevel"/>
    <w:tmpl w:val="577467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4F0D4E"/>
    <w:multiLevelType w:val="multilevel"/>
    <w:tmpl w:val="1D3CD6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30F"/>
    <w:rsid w:val="003B530F"/>
    <w:rsid w:val="006274CB"/>
    <w:rsid w:val="009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3203-362B-4CE8-B2F4-A311B545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Standarduser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user"/>
  </w:style>
  <w:style w:type="paragraph" w:styleId="Popi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  <w:style w:type="numbering" w:customStyle="1" w:styleId="WWNum4">
    <w:name w:val="WWNum4"/>
    <w:basedOn w:val="Bezzoznamu"/>
    <w:pPr>
      <w:numPr>
        <w:numId w:val="8"/>
      </w:numPr>
    </w:pPr>
  </w:style>
  <w:style w:type="numbering" w:customStyle="1" w:styleId="WWNum5">
    <w:name w:val="WWNum5"/>
    <w:basedOn w:val="Bezzoznamu"/>
    <w:pPr>
      <w:numPr>
        <w:numId w:val="9"/>
      </w:numPr>
    </w:pPr>
  </w:style>
  <w:style w:type="numbering" w:customStyle="1" w:styleId="WWNum6">
    <w:name w:val="WWNum6"/>
    <w:basedOn w:val="Bezzoznamu"/>
    <w:pPr>
      <w:numPr>
        <w:numId w:val="10"/>
      </w:numPr>
    </w:pPr>
  </w:style>
  <w:style w:type="numbering" w:customStyle="1" w:styleId="WWNum7">
    <w:name w:val="WWNum7"/>
    <w:basedOn w:val="Bezzo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2</cp:revision>
  <dcterms:created xsi:type="dcterms:W3CDTF">2020-11-11T09:17:00Z</dcterms:created>
  <dcterms:modified xsi:type="dcterms:W3CDTF">2020-11-11T09:17:00Z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