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6B" w:rsidRDefault="00017E40">
      <w:pPr>
        <w:pStyle w:val="Standard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Zmluva o dielo - návrh </w:t>
      </w:r>
      <w:r>
        <w:rPr>
          <w:bCs w:val="0"/>
          <w:sz w:val="28"/>
          <w:szCs w:val="28"/>
        </w:rPr>
        <w:tab/>
      </w:r>
    </w:p>
    <w:p w:rsidR="00D4266B" w:rsidRDefault="00D4266B">
      <w:pPr>
        <w:pStyle w:val="Standard"/>
        <w:jc w:val="center"/>
        <w:rPr>
          <w:b w:val="0"/>
          <w:color w:val="000000"/>
          <w:sz w:val="10"/>
          <w:szCs w:val="10"/>
        </w:rPr>
      </w:pPr>
    </w:p>
    <w:p w:rsidR="00D4266B" w:rsidRDefault="00017E40">
      <w:pPr>
        <w:pStyle w:val="Standard"/>
        <w:jc w:val="center"/>
        <w:rPr>
          <w:b w:val="0"/>
          <w:color w:val="000000"/>
        </w:rPr>
      </w:pPr>
      <w:r>
        <w:rPr>
          <w:b w:val="0"/>
          <w:color w:val="000000"/>
        </w:rPr>
        <w:t>uzatvorená podľa § 536 zákona č. 513/1991 Zb. Obchodného zákonníka</w:t>
      </w:r>
      <w:r>
        <w:rPr>
          <w:b w:val="0"/>
          <w:color w:val="000000"/>
        </w:rPr>
        <w:br/>
      </w:r>
      <w:r>
        <w:rPr>
          <w:b w:val="0"/>
          <w:color w:val="000000"/>
        </w:rPr>
        <w:t xml:space="preserve">a zákona č. 343/2015 </w:t>
      </w:r>
      <w:proofErr w:type="spellStart"/>
      <w:r>
        <w:rPr>
          <w:b w:val="0"/>
          <w:color w:val="000000"/>
        </w:rPr>
        <w:t>Z.z</w:t>
      </w:r>
      <w:proofErr w:type="spellEnd"/>
      <w:r>
        <w:rPr>
          <w:b w:val="0"/>
          <w:color w:val="000000"/>
        </w:rPr>
        <w:t>. o verejnom obstarávaní a o zmene a doplnení niektorých zákonov</w:t>
      </w:r>
    </w:p>
    <w:p w:rsidR="00D4266B" w:rsidRDefault="00017E40">
      <w:pPr>
        <w:pStyle w:val="Standard"/>
        <w:jc w:val="center"/>
        <w:rPr>
          <w:b w:val="0"/>
          <w:color w:val="000000"/>
        </w:rPr>
      </w:pPr>
      <w:r>
        <w:rPr>
          <w:b w:val="0"/>
          <w:color w:val="000000"/>
        </w:rPr>
        <w:t>(ďalej aj ako „zmluva“)</w:t>
      </w:r>
    </w:p>
    <w:p w:rsidR="00D4266B" w:rsidRDefault="00D4266B">
      <w:pPr>
        <w:pStyle w:val="Standard"/>
        <w:jc w:val="center"/>
        <w:rPr>
          <w:b w:val="0"/>
          <w:bCs w:val="0"/>
        </w:rPr>
      </w:pPr>
    </w:p>
    <w:p w:rsidR="00D4266B" w:rsidRDefault="00017E40">
      <w:pPr>
        <w:pStyle w:val="Nadpis1"/>
        <w:spacing w:before="120" w:after="160"/>
      </w:pPr>
      <w:r>
        <w:rPr>
          <w:rFonts w:ascii="Arial" w:hAnsi="Arial" w:cs="Arial"/>
          <w:i w:val="0"/>
          <w:sz w:val="22"/>
          <w:szCs w:val="22"/>
        </w:rPr>
        <w:t>Článok 1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Zmluvné </w:t>
      </w:r>
      <w:r>
        <w:rPr>
          <w:rFonts w:ascii="Arial" w:hAnsi="Arial" w:cs="Arial"/>
          <w:i w:val="0"/>
          <w:sz w:val="22"/>
          <w:szCs w:val="22"/>
          <w:u w:val="single"/>
        </w:rPr>
        <w:t>strany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7"/>
        <w:gridCol w:w="5464"/>
      </w:tblGrid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Objednávateľ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</w:pPr>
            <w:r>
              <w:t>Mesto Handlová</w:t>
            </w:r>
            <w:r>
              <w:rPr>
                <w:b w:val="0"/>
              </w:rPr>
              <w:br/>
            </w:r>
            <w:r>
              <w:rPr>
                <w:b w:val="0"/>
              </w:rPr>
              <w:t>Námestie baníkov č.7, 972 51 Handlová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Zastúpený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Mgr. Silvia Grúberová, primátorka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IČO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00318094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DIČ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2021162660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Banka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Slovenská sporiteľňa a. s., pobočka Handlová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Číslo účtu (IBAN)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SK78 0900 0000 0003 7082 6010</w:t>
            </w:r>
          </w:p>
        </w:tc>
      </w:tr>
    </w:tbl>
    <w:p w:rsidR="00D4266B" w:rsidRDefault="00017E40">
      <w:pPr>
        <w:pStyle w:val="Standard"/>
        <w:tabs>
          <w:tab w:val="left" w:pos="567"/>
        </w:tabs>
        <w:spacing w:before="40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b w:val="0"/>
          <w:bCs w:val="0"/>
        </w:rPr>
        <w:t>(ďalej aj ako „objednávateľ“)</w:t>
      </w:r>
    </w:p>
    <w:p w:rsidR="00D4266B" w:rsidRDefault="00017E40">
      <w:pPr>
        <w:pStyle w:val="Standard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</w:p>
    <w:p w:rsidR="00D4266B" w:rsidRDefault="00D4266B">
      <w:pPr>
        <w:pStyle w:val="Standard"/>
        <w:rPr>
          <w:b w:val="0"/>
          <w:bCs w:val="0"/>
          <w:sz w:val="16"/>
          <w:szCs w:val="1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7"/>
        <w:gridCol w:w="5464"/>
      </w:tblGrid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Zhotoviteľ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Pr="00DF1190" w:rsidRDefault="00017E40">
            <w:pPr>
              <w:pStyle w:val="Standard"/>
              <w:rPr>
                <w:bCs w:val="0"/>
              </w:rPr>
            </w:pPr>
            <w:r w:rsidRPr="00DF1190">
              <w:rPr>
                <w:bCs w:val="0"/>
              </w:rPr>
              <w:t xml:space="preserve">... </w:t>
            </w:r>
            <w:r w:rsidRPr="00DF1190">
              <w:rPr>
                <w:bCs w:val="0"/>
                <w:i/>
                <w:iCs/>
                <w:color w:val="FF0000"/>
              </w:rPr>
              <w:t>(vyplní uchádzač)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Zastúpený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</w:pPr>
            <w:r>
              <w:rPr>
                <w:b w:val="0"/>
              </w:rPr>
              <w:t xml:space="preserve">... </w:t>
            </w:r>
            <w:r>
              <w:rPr>
                <w:b w:val="0"/>
                <w:i/>
                <w:iCs/>
                <w:color w:val="FF0000"/>
              </w:rPr>
              <w:t>(vyplní uchádzač)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IČO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</w:pPr>
            <w:r>
              <w:rPr>
                <w:b w:val="0"/>
              </w:rPr>
              <w:t xml:space="preserve">... </w:t>
            </w:r>
            <w:r>
              <w:rPr>
                <w:b w:val="0"/>
                <w:i/>
                <w:iCs/>
                <w:color w:val="FF0000"/>
              </w:rPr>
              <w:t>(vyplní uchádzač)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DIČ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</w:pPr>
            <w:r>
              <w:rPr>
                <w:b w:val="0"/>
              </w:rPr>
              <w:t xml:space="preserve">... </w:t>
            </w:r>
            <w:r>
              <w:rPr>
                <w:b w:val="0"/>
                <w:i/>
                <w:iCs/>
                <w:color w:val="FF0000"/>
              </w:rPr>
              <w:t>(vyplní uchádzač)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IČ DPH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</w:pPr>
            <w:r>
              <w:rPr>
                <w:b w:val="0"/>
              </w:rPr>
              <w:t xml:space="preserve">... </w:t>
            </w:r>
            <w:r>
              <w:rPr>
                <w:b w:val="0"/>
                <w:i/>
                <w:iCs/>
                <w:color w:val="FF0000"/>
              </w:rPr>
              <w:t>(vyplní uchádzač)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Banka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</w:pPr>
            <w:r>
              <w:rPr>
                <w:b w:val="0"/>
              </w:rPr>
              <w:t xml:space="preserve">... </w:t>
            </w:r>
            <w:r>
              <w:rPr>
                <w:b w:val="0"/>
                <w:i/>
                <w:iCs/>
                <w:color w:val="FF0000"/>
              </w:rPr>
              <w:t>(vyplní uchádzač)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Číslo účtu (IBAN)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</w:pPr>
            <w:r>
              <w:rPr>
                <w:b w:val="0"/>
              </w:rPr>
              <w:t xml:space="preserve">... </w:t>
            </w:r>
            <w:r>
              <w:rPr>
                <w:b w:val="0"/>
                <w:i/>
                <w:iCs/>
                <w:color w:val="FF0000"/>
              </w:rPr>
              <w:t xml:space="preserve">(vyplní </w:t>
            </w:r>
            <w:r>
              <w:rPr>
                <w:b w:val="0"/>
                <w:i/>
                <w:iCs/>
                <w:color w:val="FF0000"/>
              </w:rPr>
              <w:t>uchádzač)</w:t>
            </w:r>
          </w:p>
        </w:tc>
      </w:tr>
      <w:tr w:rsidR="00D4266B" w:rsidTr="00244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Zapísaný v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66B" w:rsidRDefault="00017E40">
            <w:pPr>
              <w:pStyle w:val="Standard"/>
            </w:pPr>
            <w:r>
              <w:rPr>
                <w:b w:val="0"/>
              </w:rPr>
              <w:t xml:space="preserve">... </w:t>
            </w:r>
            <w:r>
              <w:rPr>
                <w:b w:val="0"/>
                <w:i/>
                <w:iCs/>
                <w:color w:val="FF0000"/>
              </w:rPr>
              <w:t>(vyplní uchádzač)</w:t>
            </w:r>
          </w:p>
        </w:tc>
      </w:tr>
    </w:tbl>
    <w:p w:rsidR="00D4266B" w:rsidRDefault="00017E40">
      <w:pPr>
        <w:pStyle w:val="Standard"/>
        <w:tabs>
          <w:tab w:val="left" w:pos="567"/>
        </w:tabs>
        <w:spacing w:before="40"/>
        <w:jc w:val="both"/>
        <w:rPr>
          <w:b w:val="0"/>
          <w:bCs w:val="0"/>
        </w:rPr>
      </w:pPr>
      <w:r>
        <w:rPr>
          <w:b w:val="0"/>
          <w:bCs w:val="0"/>
        </w:rPr>
        <w:t xml:space="preserve">  (ďalej aj ako „zhotoviteľ“)</w:t>
      </w:r>
    </w:p>
    <w:p w:rsidR="00D4266B" w:rsidRDefault="00D4266B">
      <w:pPr>
        <w:pStyle w:val="Standard"/>
        <w:tabs>
          <w:tab w:val="left" w:pos="567"/>
        </w:tabs>
        <w:jc w:val="both"/>
        <w:rPr>
          <w:b w:val="0"/>
          <w:bCs w:val="0"/>
        </w:rPr>
      </w:pPr>
    </w:p>
    <w:p w:rsidR="00D4266B" w:rsidRDefault="00017E40">
      <w:pPr>
        <w:pStyle w:val="Nadpis1"/>
        <w:spacing w:before="240" w:after="120"/>
        <w:jc w:val="both"/>
      </w:pPr>
      <w:r>
        <w:rPr>
          <w:rFonts w:ascii="Arial" w:hAnsi="Arial" w:cs="Arial"/>
          <w:i w:val="0"/>
          <w:sz w:val="22"/>
          <w:szCs w:val="22"/>
        </w:rPr>
        <w:t>Článok 2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Predmet  zmluvy</w:t>
      </w:r>
    </w:p>
    <w:p w:rsidR="00D4266B" w:rsidRDefault="00017E40">
      <w:pPr>
        <w:pStyle w:val="Odsekzoznamu"/>
        <w:numPr>
          <w:ilvl w:val="1"/>
          <w:numId w:val="12"/>
        </w:numPr>
        <w:spacing w:after="120"/>
        <w:ind w:left="426" w:hanging="426"/>
        <w:jc w:val="both"/>
        <w:rPr>
          <w:b w:val="0"/>
        </w:rPr>
      </w:pPr>
      <w:r>
        <w:rPr>
          <w:b w:val="0"/>
        </w:rPr>
        <w:t xml:space="preserve">Predmetom tejto zmluvy je dodanie databázového servera Microsoft SQL Server Standard </w:t>
      </w:r>
      <w:proofErr w:type="spellStart"/>
      <w:r>
        <w:rPr>
          <w:b w:val="0"/>
        </w:rPr>
        <w:t>Core</w:t>
      </w:r>
      <w:proofErr w:type="spellEnd"/>
      <w:r>
        <w:rPr>
          <w:b w:val="0"/>
        </w:rPr>
        <w:t xml:space="preserve"> 2019 OLP 2 licencie NL GOV </w:t>
      </w:r>
      <w:proofErr w:type="spellStart"/>
      <w:r>
        <w:rPr>
          <w:b w:val="0"/>
        </w:rPr>
        <w:t>CoreLic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Qlfd</w:t>
      </w:r>
      <w:proofErr w:type="spellEnd"/>
      <w:r>
        <w:rPr>
          <w:b w:val="0"/>
        </w:rPr>
        <w:t xml:space="preserve">, model "per CORE" </w:t>
      </w:r>
      <w:r>
        <w:rPr>
          <w:b w:val="0"/>
        </w:rPr>
        <w:t xml:space="preserve">v množstve 2 kusy, jeho inštalácia a migrácia nasledovných databáz do nového prostredia SQL: databázy </w:t>
      </w:r>
      <w:proofErr w:type="spellStart"/>
      <w:r>
        <w:rPr>
          <w:b w:val="0"/>
        </w:rPr>
        <w:t>Korwin</w:t>
      </w:r>
      <w:proofErr w:type="spellEnd"/>
      <w:r>
        <w:rPr>
          <w:b w:val="0"/>
        </w:rPr>
        <w:t xml:space="preserve">, databázy Registratúrna kniha a ostatných databáz: </w:t>
      </w:r>
      <w:proofErr w:type="spellStart"/>
      <w:r>
        <w:rPr>
          <w:b w:val="0"/>
        </w:rPr>
        <w:t>Database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Snapshots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GDPRIn_Logs</w:t>
      </w:r>
      <w:proofErr w:type="spellEnd"/>
      <w:r>
        <w:rPr>
          <w:b w:val="0"/>
        </w:rPr>
        <w:t>, KORWIN_GLOBAL,</w:t>
      </w:r>
      <w:r w:rsidR="00C47EFB">
        <w:rPr>
          <w:b w:val="0"/>
        </w:rPr>
        <w:t xml:space="preserve"> </w:t>
      </w:r>
      <w:proofErr w:type="spellStart"/>
      <w:r>
        <w:rPr>
          <w:b w:val="0"/>
        </w:rPr>
        <w:t>log_handlova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RK_LOgs</w:t>
      </w:r>
      <w:proofErr w:type="spellEnd"/>
      <w:r>
        <w:rPr>
          <w:b w:val="0"/>
        </w:rPr>
        <w:t>.</w:t>
      </w:r>
    </w:p>
    <w:p w:rsidR="00D4266B" w:rsidRDefault="00017E40">
      <w:pPr>
        <w:pStyle w:val="Textbody"/>
        <w:numPr>
          <w:ilvl w:val="1"/>
          <w:numId w:val="12"/>
        </w:numPr>
        <w:tabs>
          <w:tab w:val="clear" w:pos="0"/>
          <w:tab w:val="left" w:pos="425"/>
          <w:tab w:val="left" w:pos="851"/>
          <w:tab w:val="left" w:pos="992"/>
        </w:tabs>
        <w:spacing w:after="120"/>
        <w:ind w:left="425" w:hanging="42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Migrácia zahŕňa zálohovan</w:t>
      </w:r>
      <w:r>
        <w:rPr>
          <w:rFonts w:ascii="Arial" w:hAnsi="Arial" w:cs="Arial"/>
          <w:bCs/>
          <w:sz w:val="20"/>
        </w:rPr>
        <w:t>ie pôvodnej databázy, inštaláciu nového SQL servera, obnovu databázy do nového prostredia SQL, nastavenie SQL, konfiguráciu, testovanie pripojenia a prostredia SQL.</w:t>
      </w:r>
    </w:p>
    <w:p w:rsidR="00D4266B" w:rsidRDefault="00017E40">
      <w:pPr>
        <w:pStyle w:val="Textbody"/>
        <w:numPr>
          <w:ilvl w:val="1"/>
          <w:numId w:val="12"/>
        </w:numPr>
        <w:tabs>
          <w:tab w:val="clear" w:pos="0"/>
          <w:tab w:val="left" w:pos="425"/>
          <w:tab w:val="left" w:pos="851"/>
          <w:tab w:val="left" w:pos="992"/>
        </w:tabs>
        <w:ind w:left="425" w:hanging="42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Zhotoviteľ sa zaväzuje, že databázy budú po migrácií plne prístupné a kompatibilné s apliká</w:t>
      </w:r>
      <w:r>
        <w:rPr>
          <w:rFonts w:ascii="Arial" w:hAnsi="Arial" w:cs="Arial"/>
          <w:bCs/>
          <w:sz w:val="20"/>
        </w:rPr>
        <w:t xml:space="preserve">ciami </w:t>
      </w:r>
      <w:proofErr w:type="spellStart"/>
      <w:r>
        <w:rPr>
          <w:rFonts w:ascii="Arial" w:hAnsi="Arial" w:cs="Arial"/>
          <w:bCs/>
          <w:sz w:val="20"/>
        </w:rPr>
        <w:t>Korwin</w:t>
      </w:r>
      <w:proofErr w:type="spellEnd"/>
      <w:r>
        <w:rPr>
          <w:rFonts w:ascii="Arial" w:hAnsi="Arial" w:cs="Arial"/>
          <w:bCs/>
          <w:sz w:val="20"/>
        </w:rPr>
        <w:t xml:space="preserve"> a Registratúrna kniha.</w:t>
      </w:r>
    </w:p>
    <w:p w:rsidR="00D4266B" w:rsidRDefault="00D4266B">
      <w:pPr>
        <w:pStyle w:val="Standard"/>
        <w:spacing w:after="120"/>
        <w:jc w:val="both"/>
        <w:rPr>
          <w:b w:val="0"/>
        </w:rPr>
      </w:pPr>
    </w:p>
    <w:p w:rsidR="00D4266B" w:rsidRDefault="00017E40">
      <w:pPr>
        <w:pStyle w:val="Nadpis1"/>
        <w:spacing w:before="240" w:after="120"/>
        <w:jc w:val="both"/>
      </w:pPr>
      <w:r>
        <w:rPr>
          <w:rFonts w:ascii="Arial" w:hAnsi="Arial" w:cs="Arial"/>
          <w:i w:val="0"/>
          <w:sz w:val="22"/>
          <w:szCs w:val="22"/>
        </w:rPr>
        <w:t>Článok 3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Cena diela, platobné podmienky a zmluvné pokuty</w:t>
      </w:r>
    </w:p>
    <w:p w:rsidR="00D4266B" w:rsidRDefault="00017E40" w:rsidP="00C47EFB">
      <w:pPr>
        <w:pStyle w:val="bul1"/>
        <w:numPr>
          <w:ilvl w:val="1"/>
          <w:numId w:val="3"/>
        </w:numPr>
        <w:spacing w:after="120"/>
        <w:ind w:left="426" w:hanging="426"/>
        <w:jc w:val="both"/>
      </w:pPr>
      <w:r>
        <w:rPr>
          <w:rFonts w:ascii="Arial" w:hAnsi="Arial" w:cs="Arial"/>
          <w:sz w:val="20"/>
          <w:szCs w:val="20"/>
          <w:lang w:val="sk-SK"/>
        </w:rPr>
        <w:t xml:space="preserve">Cena diela je stanovená v zmysle zákona NR SR č. 18/1996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>
        <w:rPr>
          <w:rFonts w:ascii="Arial" w:hAnsi="Arial" w:cs="Arial"/>
          <w:sz w:val="20"/>
          <w:szCs w:val="20"/>
          <w:lang w:val="sk-SK"/>
        </w:rPr>
        <w:t>. o cenách v znení neskorších predpisov a vyhlášky MF SR č.</w:t>
      </w:r>
      <w:r w:rsidR="004544F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87/1996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>
        <w:rPr>
          <w:rFonts w:ascii="Arial" w:hAnsi="Arial" w:cs="Arial"/>
          <w:sz w:val="20"/>
          <w:szCs w:val="20"/>
          <w:lang w:val="sk-SK"/>
        </w:rPr>
        <w:t>.</w:t>
      </w:r>
      <w:r w:rsidR="004544F2">
        <w:rPr>
          <w:rFonts w:ascii="Arial" w:hAnsi="Arial" w:cs="Arial"/>
          <w:sz w:val="20"/>
          <w:szCs w:val="20"/>
          <w:lang w:val="sk-SK"/>
        </w:rPr>
        <w:t>,</w:t>
      </w:r>
      <w:r>
        <w:rPr>
          <w:rFonts w:ascii="Arial" w:hAnsi="Arial" w:cs="Arial"/>
          <w:sz w:val="20"/>
          <w:szCs w:val="20"/>
          <w:lang w:val="sk-SK"/>
        </w:rPr>
        <w:t xml:space="preserve"> ktorou sa vykonáva zákon NR </w:t>
      </w:r>
      <w:r>
        <w:rPr>
          <w:rFonts w:ascii="Arial" w:hAnsi="Arial" w:cs="Arial"/>
          <w:sz w:val="20"/>
          <w:szCs w:val="20"/>
          <w:lang w:val="sk-SK"/>
        </w:rPr>
        <w:t>SR č.</w:t>
      </w:r>
      <w:r w:rsidR="004544F2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18/1996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. o cenách v znení neskorších predpisov, ako cena konečná a maximálna, deklarovaná na základe výsledkov procesu verejného obstarávania vykonaného podľa § 117 zákona č. 343/2015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>
        <w:rPr>
          <w:rFonts w:ascii="Arial" w:hAnsi="Arial" w:cs="Arial"/>
          <w:sz w:val="20"/>
          <w:szCs w:val="20"/>
          <w:lang w:val="sk-SK"/>
        </w:rPr>
        <w:t>. o verejnom obstarávaní a o zmene a doplnení niektorých zák</w:t>
      </w:r>
      <w:r>
        <w:rPr>
          <w:rFonts w:ascii="Arial" w:hAnsi="Arial" w:cs="Arial"/>
          <w:sz w:val="20"/>
          <w:szCs w:val="20"/>
          <w:lang w:val="sk-SK"/>
        </w:rPr>
        <w:t>onov v znení neskorších predpisov s názvom „Dodanie a inštalácia servera pre mesto Handlová“, nasledovne:</w:t>
      </w:r>
    </w:p>
    <w:p w:rsidR="00D4266B" w:rsidRDefault="00017E40" w:rsidP="00C47EFB">
      <w:pPr>
        <w:pStyle w:val="Standard"/>
        <w:ind w:left="426"/>
      </w:pPr>
      <w:r>
        <w:rPr>
          <w:b w:val="0"/>
          <w:i/>
        </w:rPr>
        <w:t xml:space="preserve">                                   položka</w:t>
      </w:r>
      <w:r>
        <w:rPr>
          <w:b w:val="0"/>
          <w:i/>
        </w:rPr>
        <w:tab/>
        <w:t xml:space="preserve"> </w:t>
      </w:r>
      <w:r>
        <w:rPr>
          <w:b w:val="0"/>
          <w:i/>
        </w:rPr>
        <w:tab/>
        <w:t xml:space="preserve">                     množstvo</w:t>
      </w:r>
      <w:r>
        <w:rPr>
          <w:b w:val="0"/>
          <w:i/>
        </w:rPr>
        <w:tab/>
        <w:t xml:space="preserve">                       cena bez DPH</w:t>
      </w:r>
      <w:r>
        <w:rPr>
          <w:b w:val="0"/>
          <w:i/>
        </w:rPr>
        <w:br/>
      </w:r>
      <w:r>
        <w:rPr>
          <w:b w:val="0"/>
        </w:rPr>
        <w:t xml:space="preserve">Microsoft SQL Server Standard </w:t>
      </w:r>
      <w:proofErr w:type="spellStart"/>
      <w:r>
        <w:rPr>
          <w:b w:val="0"/>
        </w:rPr>
        <w:t>Core</w:t>
      </w:r>
      <w:proofErr w:type="spellEnd"/>
      <w:r>
        <w:rPr>
          <w:b w:val="0"/>
        </w:rPr>
        <w:t xml:space="preserve"> 2019</w:t>
      </w:r>
      <w:r>
        <w:rPr>
          <w:b w:val="0"/>
        </w:rPr>
        <w:t xml:space="preserve"> OLP</w:t>
      </w:r>
    </w:p>
    <w:p w:rsidR="005728FA" w:rsidRDefault="00017E40" w:rsidP="00C47EFB">
      <w:pPr>
        <w:pStyle w:val="Standard"/>
        <w:ind w:left="426"/>
        <w:rPr>
          <w:b w:val="0"/>
        </w:rPr>
      </w:pPr>
      <w:r>
        <w:rPr>
          <w:b w:val="0"/>
        </w:rPr>
        <w:t xml:space="preserve">2 licencie NL GOV </w:t>
      </w:r>
      <w:proofErr w:type="spellStart"/>
      <w:r>
        <w:rPr>
          <w:b w:val="0"/>
        </w:rPr>
        <w:t>CoreLic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Qlfd</w:t>
      </w:r>
      <w:proofErr w:type="spellEnd"/>
      <w:r>
        <w:rPr>
          <w:b w:val="0"/>
        </w:rPr>
        <w:t>, model "per CORE"</w:t>
      </w:r>
      <w:r>
        <w:rPr>
          <w:b w:val="0"/>
        </w:rPr>
        <w:tab/>
        <w:t>2 ks</w:t>
      </w:r>
      <w:r>
        <w:rPr>
          <w:b w:val="0"/>
        </w:rPr>
        <w:tab/>
      </w:r>
      <w:r>
        <w:rPr>
          <w:b w:val="0"/>
        </w:rPr>
        <w:tab/>
        <w:t xml:space="preserve">... </w:t>
      </w:r>
      <w:r>
        <w:rPr>
          <w:b w:val="0"/>
          <w:i/>
          <w:iCs/>
          <w:color w:val="FF0000"/>
        </w:rPr>
        <w:t>(vyplní uchádzač)</w:t>
      </w:r>
      <w:r>
        <w:rPr>
          <w:b w:val="0"/>
        </w:rPr>
        <w:t xml:space="preserve"> EUR </w:t>
      </w:r>
    </w:p>
    <w:p w:rsidR="005728FA" w:rsidRDefault="00017E40" w:rsidP="00C47EFB">
      <w:pPr>
        <w:pStyle w:val="Standard"/>
        <w:ind w:left="426"/>
        <w:rPr>
          <w:b w:val="0"/>
        </w:rPr>
      </w:pPr>
      <w:r>
        <w:rPr>
          <w:b w:val="0"/>
        </w:rPr>
        <w:t>Inštalácia SQL servera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 ks</w:t>
      </w:r>
      <w:r>
        <w:rPr>
          <w:b w:val="0"/>
        </w:rPr>
        <w:tab/>
      </w:r>
      <w:r>
        <w:rPr>
          <w:b w:val="0"/>
        </w:rPr>
        <w:tab/>
        <w:t xml:space="preserve">... </w:t>
      </w:r>
      <w:r>
        <w:rPr>
          <w:b w:val="0"/>
          <w:i/>
          <w:iCs/>
          <w:color w:val="FF0000"/>
        </w:rPr>
        <w:t>(vyplní uchádzač)</w:t>
      </w:r>
      <w:r>
        <w:rPr>
          <w:b w:val="0"/>
        </w:rPr>
        <w:t xml:space="preserve"> EUR  </w:t>
      </w:r>
    </w:p>
    <w:p w:rsidR="005728FA" w:rsidRDefault="00017E40" w:rsidP="00C47EFB">
      <w:pPr>
        <w:pStyle w:val="Standard"/>
        <w:ind w:left="426"/>
        <w:rPr>
          <w:b w:val="0"/>
        </w:rPr>
      </w:pPr>
      <w:r>
        <w:rPr>
          <w:b w:val="0"/>
        </w:rPr>
        <w:t>Migrácia databáz</w:t>
      </w:r>
      <w:r>
        <w:rPr>
          <w:b w:val="0"/>
        </w:rPr>
        <w:tab/>
      </w:r>
      <w:r>
        <w:rPr>
          <w:b w:val="0"/>
        </w:rPr>
        <w:tab/>
        <w:t xml:space="preserve">                              </w:t>
      </w:r>
      <w:r>
        <w:rPr>
          <w:b w:val="0"/>
        </w:rPr>
        <w:tab/>
      </w:r>
      <w:r>
        <w:rPr>
          <w:b w:val="0"/>
        </w:rPr>
        <w:tab/>
        <w:t>1 ks</w:t>
      </w:r>
      <w:r>
        <w:rPr>
          <w:b w:val="0"/>
        </w:rPr>
        <w:tab/>
      </w:r>
      <w:r>
        <w:rPr>
          <w:b w:val="0"/>
        </w:rPr>
        <w:tab/>
        <w:t xml:space="preserve">... </w:t>
      </w:r>
      <w:r>
        <w:rPr>
          <w:b w:val="0"/>
          <w:i/>
          <w:iCs/>
          <w:color w:val="FF0000"/>
        </w:rPr>
        <w:t>(vyplní uchádzač)</w:t>
      </w:r>
      <w:r>
        <w:rPr>
          <w:b w:val="0"/>
        </w:rPr>
        <w:t xml:space="preserve"> EUR  </w:t>
      </w:r>
    </w:p>
    <w:p w:rsidR="00D4266B" w:rsidRDefault="00017E40" w:rsidP="00C47EFB">
      <w:pPr>
        <w:pStyle w:val="Standard"/>
        <w:ind w:left="426"/>
      </w:pPr>
      <w:r>
        <w:rPr>
          <w:b w:val="0"/>
        </w:rPr>
        <w:t>HW-úprava a nastavenie</w:t>
      </w:r>
      <w:r>
        <w:rPr>
          <w:b w:val="0"/>
        </w:rPr>
        <w:t xml:space="preserve"> servera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>
        <w:rPr>
          <w:b w:val="0"/>
        </w:rPr>
        <w:tab/>
        <w:t>1 ks</w:t>
      </w:r>
      <w:r>
        <w:rPr>
          <w:b w:val="0"/>
        </w:rPr>
        <w:tab/>
      </w:r>
      <w:r>
        <w:rPr>
          <w:b w:val="0"/>
        </w:rPr>
        <w:tab/>
        <w:t xml:space="preserve">... </w:t>
      </w:r>
      <w:r>
        <w:rPr>
          <w:b w:val="0"/>
          <w:i/>
          <w:iCs/>
          <w:color w:val="FF0000"/>
        </w:rPr>
        <w:t>(vyplní uchádzač)</w:t>
      </w:r>
      <w:r>
        <w:rPr>
          <w:b w:val="0"/>
        </w:rPr>
        <w:t xml:space="preserve"> EUR</w:t>
      </w:r>
    </w:p>
    <w:p w:rsidR="00D4266B" w:rsidRDefault="00D4266B">
      <w:pPr>
        <w:pStyle w:val="Standard"/>
        <w:ind w:left="1260"/>
      </w:pPr>
    </w:p>
    <w:p w:rsidR="00D4266B" w:rsidRDefault="00017E40" w:rsidP="00C47EFB">
      <w:pPr>
        <w:pStyle w:val="bul1"/>
        <w:tabs>
          <w:tab w:val="left" w:pos="1440"/>
        </w:tabs>
        <w:ind w:left="426" w:firstLine="0"/>
      </w:pPr>
      <w:r>
        <w:rPr>
          <w:rFonts w:ascii="Arial" w:hAnsi="Arial" w:cs="Arial"/>
          <w:b/>
          <w:sz w:val="20"/>
          <w:szCs w:val="20"/>
          <w:lang w:val="sk-SK"/>
        </w:rPr>
        <w:t xml:space="preserve">Celková zmluvná cena bez DPH ... </w:t>
      </w:r>
      <w:r>
        <w:rPr>
          <w:rFonts w:ascii="Arial" w:hAnsi="Arial" w:cs="Arial"/>
          <w:b/>
          <w:i/>
          <w:iCs/>
          <w:color w:val="FF0000"/>
          <w:sz w:val="20"/>
          <w:szCs w:val="20"/>
          <w:lang w:val="sk-SK"/>
        </w:rPr>
        <w:t>(vyplní uchádzač)</w:t>
      </w:r>
      <w:r>
        <w:rPr>
          <w:rFonts w:ascii="Arial" w:hAnsi="Arial" w:cs="Arial"/>
          <w:b/>
          <w:sz w:val="20"/>
          <w:szCs w:val="20"/>
          <w:lang w:val="sk-SK"/>
        </w:rPr>
        <w:t xml:space="preserve"> EUR</w:t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br/>
      </w:r>
      <w:r>
        <w:rPr>
          <w:rFonts w:ascii="Arial" w:hAnsi="Arial" w:cs="Arial"/>
          <w:sz w:val="20"/>
          <w:szCs w:val="20"/>
          <w:lang w:val="sk-SK"/>
        </w:rPr>
        <w:t xml:space="preserve">DPH </w:t>
      </w:r>
      <w:r>
        <w:rPr>
          <w:rFonts w:ascii="Arial" w:hAnsi="Arial" w:cs="Arial"/>
          <w:bCs/>
          <w:sz w:val="20"/>
          <w:szCs w:val="20"/>
          <w:lang w:val="sk-SK"/>
        </w:rPr>
        <w:t xml:space="preserve">... </w:t>
      </w:r>
      <w:r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(vyplní uchádzač)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% </w:t>
      </w:r>
      <w:r>
        <w:rPr>
          <w:rFonts w:ascii="Arial" w:hAnsi="Arial" w:cs="Arial"/>
          <w:bCs/>
          <w:sz w:val="20"/>
          <w:szCs w:val="20"/>
          <w:lang w:val="sk-SK"/>
        </w:rPr>
        <w:t xml:space="preserve">... </w:t>
      </w:r>
      <w:r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(vyplní uchádzač)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EUR</w:t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</w:t>
      </w:r>
    </w:p>
    <w:p w:rsidR="00D4266B" w:rsidRPr="0001129C" w:rsidRDefault="00017E40" w:rsidP="0001129C">
      <w:pPr>
        <w:pStyle w:val="bul1"/>
        <w:tabs>
          <w:tab w:val="left" w:pos="1440"/>
        </w:tabs>
        <w:ind w:left="426" w:firstLine="0"/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Celková zmluvná cena s DPH </w:t>
      </w:r>
      <w:r>
        <w:rPr>
          <w:rFonts w:ascii="Arial" w:hAnsi="Arial" w:cs="Arial"/>
          <w:b/>
          <w:sz w:val="20"/>
          <w:szCs w:val="20"/>
          <w:lang w:val="sk-SK"/>
        </w:rPr>
        <w:t xml:space="preserve">... </w:t>
      </w:r>
      <w:r>
        <w:rPr>
          <w:rFonts w:ascii="Arial" w:hAnsi="Arial" w:cs="Arial"/>
          <w:b/>
          <w:i/>
          <w:iCs/>
          <w:color w:val="FF0000"/>
          <w:sz w:val="20"/>
          <w:szCs w:val="20"/>
          <w:lang w:val="sk-SK"/>
        </w:rPr>
        <w:t>(vyplní uchádzač)</w:t>
      </w:r>
      <w:r>
        <w:rPr>
          <w:rFonts w:ascii="Arial" w:hAnsi="Arial" w:cs="Arial"/>
          <w:b/>
          <w:sz w:val="20"/>
          <w:szCs w:val="20"/>
          <w:lang w:val="sk-SK"/>
        </w:rPr>
        <w:t xml:space="preserve"> EUR </w:t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bCs/>
          <w:sz w:val="20"/>
          <w:szCs w:val="20"/>
          <w:lang w:val="sk-SK"/>
        </w:rPr>
        <w:tab/>
      </w:r>
      <w:r>
        <w:rPr>
          <w:rFonts w:ascii="Arial" w:hAnsi="Arial" w:cs="Arial"/>
          <w:b/>
          <w:bCs/>
          <w:sz w:val="20"/>
          <w:szCs w:val="20"/>
          <w:lang w:val="sk-SK"/>
        </w:rPr>
        <w:tab/>
      </w:r>
      <w:r>
        <w:rPr>
          <w:rFonts w:ascii="Arial" w:hAnsi="Arial" w:cs="Arial"/>
          <w:b/>
          <w:bCs/>
          <w:sz w:val="20"/>
          <w:szCs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sk-SK"/>
        </w:rPr>
        <w:tab/>
      </w:r>
      <w:r>
        <w:rPr>
          <w:rFonts w:ascii="Arial" w:hAnsi="Arial" w:cs="Arial"/>
          <w:b/>
          <w:bCs/>
          <w:sz w:val="20"/>
          <w:szCs w:val="20"/>
          <w:lang w:val="sk-SK"/>
        </w:rPr>
        <w:tab/>
      </w:r>
      <w:r>
        <w:rPr>
          <w:rFonts w:ascii="Arial" w:hAnsi="Arial" w:cs="Arial"/>
          <w:bCs/>
          <w:sz w:val="20"/>
          <w:szCs w:val="20"/>
          <w:lang w:val="sk-SK"/>
        </w:rPr>
        <w:br/>
      </w:r>
      <w:r>
        <w:rPr>
          <w:rFonts w:ascii="Arial" w:hAnsi="Arial" w:cs="Arial"/>
          <w:sz w:val="20"/>
          <w:szCs w:val="20"/>
          <w:lang w:val="sk-SK"/>
        </w:rPr>
        <w:t>slovom:</w:t>
      </w:r>
      <w: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  <w:lang w:val="sk-SK"/>
        </w:rPr>
        <w:t xml:space="preserve">(vyplní uchádzač) </w:t>
      </w:r>
      <w:r>
        <w:rPr>
          <w:rFonts w:ascii="Arial" w:hAnsi="Arial" w:cs="Arial"/>
          <w:sz w:val="20"/>
          <w:szCs w:val="20"/>
          <w:lang w:val="sk-SK"/>
        </w:rPr>
        <w:t>EUR s DPH.</w:t>
      </w:r>
    </w:p>
    <w:p w:rsidR="00D4266B" w:rsidRDefault="00017E40">
      <w:pPr>
        <w:pStyle w:val="bul1"/>
        <w:numPr>
          <w:ilvl w:val="1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 xml:space="preserve">Splatnosť faktúry vystavenej po protokolárnom odovzdaní predmetu zmluvy je 14 dní od jej doručenia objednávateľovi. Faktúra musí obsahovať všetky náležitosti daňového dokladu. Prílohou faktúry musí byť </w:t>
      </w:r>
      <w:r>
        <w:rPr>
          <w:rFonts w:ascii="Arial" w:hAnsi="Arial" w:cs="Arial"/>
          <w:sz w:val="20"/>
          <w:szCs w:val="20"/>
          <w:lang w:val="sk-SK"/>
        </w:rPr>
        <w:t>podpísaný odovzdávací protokol.</w:t>
      </w:r>
    </w:p>
    <w:p w:rsidR="00D4266B" w:rsidRDefault="00017E40">
      <w:pPr>
        <w:pStyle w:val="bul1"/>
        <w:numPr>
          <w:ilvl w:val="1"/>
          <w:numId w:val="3"/>
        </w:numPr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V prípade omeškania objednávateľa s úhradou zmluvnej ceny alebo jej časti je zhotoviteľ oprávnený účtovať si úrok z omeškania vo výške 0,05% zo zmluvnej ceny za každý deň omeškania.</w:t>
      </w:r>
    </w:p>
    <w:p w:rsidR="00D4266B" w:rsidRDefault="00017E40">
      <w:pPr>
        <w:pStyle w:val="bul1"/>
        <w:numPr>
          <w:ilvl w:val="1"/>
          <w:numId w:val="3"/>
        </w:numPr>
        <w:ind w:left="357" w:hanging="357"/>
        <w:jc w:val="both"/>
      </w:pPr>
      <w:r>
        <w:rPr>
          <w:rFonts w:ascii="Arial" w:hAnsi="Arial" w:cs="Arial"/>
          <w:bCs/>
          <w:sz w:val="20"/>
          <w:szCs w:val="20"/>
          <w:lang w:val="sk-SK"/>
        </w:rPr>
        <w:t>V prípade omeškania zhotoviteľa s termínom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dodania je objednávateľ oprávnený účtovať si úrok z omeškania vo výške 0,05% zo zmluvnej ceny za každý deň omeškania. </w:t>
      </w:r>
      <w:r>
        <w:rPr>
          <w:rFonts w:ascii="Arial" w:hAnsi="Arial" w:cs="Arial"/>
          <w:sz w:val="20"/>
          <w:szCs w:val="20"/>
          <w:lang w:val="sk-SK"/>
        </w:rPr>
        <w:t>Týmto však nie je dotknutý nárok objednávateľa na náhradu škody.</w:t>
      </w:r>
    </w:p>
    <w:p w:rsidR="00D4266B" w:rsidRDefault="00D4266B">
      <w:pPr>
        <w:pStyle w:val="Standard"/>
      </w:pPr>
    </w:p>
    <w:p w:rsidR="00D4266B" w:rsidRDefault="00017E40">
      <w:pPr>
        <w:pStyle w:val="Nadpis1"/>
        <w:spacing w:before="240" w:after="120"/>
      </w:pPr>
      <w:r>
        <w:rPr>
          <w:rFonts w:ascii="Arial" w:hAnsi="Arial" w:cs="Arial"/>
          <w:i w:val="0"/>
          <w:sz w:val="22"/>
          <w:szCs w:val="22"/>
        </w:rPr>
        <w:t>Článok 4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Miesto plnenia, doba plnenia a prechod vlastníctva</w:t>
      </w:r>
    </w:p>
    <w:p w:rsidR="00D4266B" w:rsidRDefault="00017E40">
      <w:pPr>
        <w:pStyle w:val="Standard"/>
        <w:numPr>
          <w:ilvl w:val="1"/>
          <w:numId w:val="4"/>
        </w:numPr>
        <w:tabs>
          <w:tab w:val="left" w:pos="717"/>
        </w:tabs>
        <w:spacing w:after="120"/>
        <w:ind w:left="357" w:hanging="357"/>
      </w:pPr>
      <w:r>
        <w:rPr>
          <w:b w:val="0"/>
        </w:rPr>
        <w:t>Miestom pln</w:t>
      </w:r>
      <w:r>
        <w:rPr>
          <w:b w:val="0"/>
        </w:rPr>
        <w:t xml:space="preserve">enia je sídlo objednávateľa – serverovňa Mestského úradu Handlová. </w:t>
      </w:r>
      <w:r>
        <w:rPr>
          <w:rFonts w:cs="Tahoma"/>
          <w:b w:val="0"/>
          <w:color w:val="000000"/>
        </w:rPr>
        <w:t>Dodacia doba je najneskôr do 15.12.2020.</w:t>
      </w:r>
    </w:p>
    <w:p w:rsidR="00D4266B" w:rsidRDefault="00017E40">
      <w:pPr>
        <w:pStyle w:val="Standard"/>
        <w:numPr>
          <w:ilvl w:val="1"/>
          <w:numId w:val="4"/>
        </w:numPr>
        <w:tabs>
          <w:tab w:val="left" w:pos="717"/>
        </w:tabs>
        <w:ind w:left="357" w:hanging="357"/>
      </w:pPr>
      <w:r>
        <w:rPr>
          <w:b w:val="0"/>
        </w:rPr>
        <w:t>Vlastnícke právo k predmetu zmluvy prejde na objednávateľa</w:t>
      </w:r>
      <w:r>
        <w:rPr>
          <w:b w:val="0"/>
          <w:i/>
          <w:iCs/>
        </w:rPr>
        <w:t xml:space="preserve"> </w:t>
      </w:r>
      <w:r>
        <w:rPr>
          <w:b w:val="0"/>
        </w:rPr>
        <w:t>až po zaplatení celej zmluvnej ceny.</w:t>
      </w:r>
    </w:p>
    <w:p w:rsidR="00D4266B" w:rsidRDefault="00D4266B">
      <w:pPr>
        <w:pStyle w:val="Standard"/>
        <w:spacing w:after="120"/>
        <w:rPr>
          <w:b w:val="0"/>
        </w:rPr>
      </w:pPr>
    </w:p>
    <w:p w:rsidR="00D4266B" w:rsidRDefault="00017E40">
      <w:pPr>
        <w:pStyle w:val="Nadpis1"/>
        <w:spacing w:before="240" w:after="120"/>
      </w:pPr>
      <w:r>
        <w:rPr>
          <w:rFonts w:ascii="Arial" w:hAnsi="Arial" w:cs="Arial"/>
          <w:i w:val="0"/>
          <w:sz w:val="22"/>
          <w:szCs w:val="22"/>
        </w:rPr>
        <w:t>Článok 5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Záručná doba a záručný servis</w:t>
      </w:r>
    </w:p>
    <w:p w:rsidR="00D4266B" w:rsidRDefault="00017E40">
      <w:pPr>
        <w:pStyle w:val="Standard"/>
        <w:numPr>
          <w:ilvl w:val="1"/>
          <w:numId w:val="5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>Záručná doba na tovar je 24 mesiacov a na prevedené inštalácie a nastavenia 3 mesiace.</w:t>
      </w:r>
    </w:p>
    <w:p w:rsidR="00D4266B" w:rsidRDefault="00017E40">
      <w:pPr>
        <w:pStyle w:val="Standard"/>
        <w:numPr>
          <w:ilvl w:val="1"/>
          <w:numId w:val="5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>Objednávateľ sa so zhotoviteľom dohodli na 30 dňovej skúšobnej dobe. V prípade zistenia nedostatkov vo funkčnosti databáz po ich migrácii do nového prostredia SQL v prie</w:t>
      </w:r>
      <w:r>
        <w:rPr>
          <w:b w:val="0"/>
        </w:rPr>
        <w:t>behu tejto skúšobnej doby, sa zhotoviteľ zaväzuje bezplatne tieto nedostatky odstrániť.</w:t>
      </w:r>
    </w:p>
    <w:p w:rsidR="00D4266B" w:rsidRDefault="00017E40">
      <w:pPr>
        <w:pStyle w:val="Standard"/>
        <w:numPr>
          <w:ilvl w:val="1"/>
          <w:numId w:val="5"/>
        </w:numPr>
        <w:tabs>
          <w:tab w:val="left" w:pos="717"/>
        </w:tabs>
        <w:spacing w:after="120"/>
        <w:ind w:left="357" w:hanging="357"/>
        <w:jc w:val="both"/>
      </w:pPr>
      <w:r>
        <w:rPr>
          <w:b w:val="0"/>
          <w:iCs/>
        </w:rPr>
        <w:t xml:space="preserve">Zhotoviteľ </w:t>
      </w:r>
      <w:r>
        <w:rPr>
          <w:b w:val="0"/>
        </w:rPr>
        <w:t xml:space="preserve">sa zaväzuje poskytnúť </w:t>
      </w:r>
      <w:r>
        <w:rPr>
          <w:b w:val="0"/>
          <w:iCs/>
        </w:rPr>
        <w:t>objednávateľovi</w:t>
      </w:r>
      <w:r>
        <w:rPr>
          <w:b w:val="0"/>
        </w:rPr>
        <w:t xml:space="preserve"> v záručnej dobe bezplatné štandardné zabezpečenie servisných služieb.</w:t>
      </w:r>
    </w:p>
    <w:p w:rsidR="00D4266B" w:rsidRDefault="00017E40">
      <w:pPr>
        <w:pStyle w:val="Standard"/>
        <w:numPr>
          <w:ilvl w:val="1"/>
          <w:numId w:val="5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>Príjem servisných hlásení je v pracovné dni od 08</w:t>
      </w:r>
      <w:r>
        <w:rPr>
          <w:b w:val="0"/>
        </w:rPr>
        <w:t>:00 do 16:30 hod. Vybavovanie reklamácii sa riadi podľa platných ustanovení Obchodného zákonníka a reklamačného poriadku zhotoviteľa. Poruchy budú nahlasované na servisné stredisko zhotoviteľa vždy prostredníctvom elektronickej pošty a prípadne aj telefoni</w:t>
      </w:r>
      <w:r>
        <w:rPr>
          <w:b w:val="0"/>
        </w:rPr>
        <w:t>cky.</w:t>
      </w:r>
    </w:p>
    <w:p w:rsidR="00D4266B" w:rsidRDefault="00017E40">
      <w:pPr>
        <w:pStyle w:val="Standard"/>
        <w:numPr>
          <w:ilvl w:val="1"/>
          <w:numId w:val="5"/>
        </w:numPr>
        <w:tabs>
          <w:tab w:val="left" w:pos="717"/>
        </w:tabs>
        <w:spacing w:after="120"/>
        <w:ind w:left="357" w:hanging="357"/>
        <w:jc w:val="both"/>
      </w:pPr>
      <w:r>
        <w:rPr>
          <w:b w:val="0"/>
        </w:rPr>
        <w:t xml:space="preserve">Kontakt na dodávateľa: ... </w:t>
      </w:r>
      <w:r>
        <w:rPr>
          <w:b w:val="0"/>
          <w:i/>
          <w:iCs/>
          <w:color w:val="FF0000"/>
        </w:rPr>
        <w:t>(vyplní uchádzač)</w:t>
      </w:r>
      <w:r>
        <w:rPr>
          <w:b w:val="0"/>
        </w:rPr>
        <w:t>.</w:t>
      </w:r>
    </w:p>
    <w:p w:rsidR="00D4266B" w:rsidRDefault="00017E40">
      <w:pPr>
        <w:pStyle w:val="Standard"/>
        <w:numPr>
          <w:ilvl w:val="1"/>
          <w:numId w:val="5"/>
        </w:numPr>
        <w:tabs>
          <w:tab w:val="left" w:pos="717"/>
        </w:tabs>
        <w:ind w:left="357" w:hanging="357"/>
        <w:jc w:val="both"/>
        <w:rPr>
          <w:b w:val="0"/>
        </w:rPr>
      </w:pPr>
      <w:r>
        <w:rPr>
          <w:b w:val="0"/>
        </w:rPr>
        <w:t xml:space="preserve">Záruka na prácu sa nevzťahuje na vady, ktoré vzniknú z titulu nefunkčnosti hardvérového vybavenia objednávateľa, alebo vinou nesprávneho zásahu do nastavení a konfigurácii IS </w:t>
      </w:r>
      <w:proofErr w:type="spellStart"/>
      <w:r>
        <w:rPr>
          <w:b w:val="0"/>
        </w:rPr>
        <w:t>Korwin</w:t>
      </w:r>
      <w:proofErr w:type="spellEnd"/>
      <w:r>
        <w:rPr>
          <w:b w:val="0"/>
        </w:rPr>
        <w:t xml:space="preserve"> a servera SQL.</w:t>
      </w:r>
    </w:p>
    <w:p w:rsidR="00D4266B" w:rsidRDefault="00D4266B">
      <w:pPr>
        <w:pStyle w:val="Standard"/>
      </w:pPr>
    </w:p>
    <w:p w:rsidR="00D4266B" w:rsidRDefault="00017E40">
      <w:pPr>
        <w:pStyle w:val="Nadpis1"/>
        <w:spacing w:before="240" w:after="120"/>
      </w:pPr>
      <w:r>
        <w:rPr>
          <w:rFonts w:ascii="Arial" w:hAnsi="Arial" w:cs="Arial"/>
          <w:i w:val="0"/>
          <w:sz w:val="22"/>
          <w:szCs w:val="22"/>
        </w:rPr>
        <w:t>Článok 6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Podmienky dodávky</w:t>
      </w:r>
    </w:p>
    <w:p w:rsidR="00D4266B" w:rsidRDefault="00017E40">
      <w:pPr>
        <w:pStyle w:val="Standard"/>
        <w:numPr>
          <w:ilvl w:val="1"/>
          <w:numId w:val="6"/>
        </w:numPr>
        <w:tabs>
          <w:tab w:val="left" w:pos="717"/>
        </w:tabs>
        <w:spacing w:after="120"/>
        <w:ind w:left="357" w:hanging="357"/>
        <w:jc w:val="both"/>
      </w:pPr>
      <w:r>
        <w:rPr>
          <w:b w:val="0"/>
          <w:iCs/>
        </w:rPr>
        <w:t>Zhotoviteľ</w:t>
      </w:r>
      <w:r>
        <w:rPr>
          <w:b w:val="0"/>
        </w:rPr>
        <w:t xml:space="preserve"> zabezpečí dodávku predmetu zmluvy v požadovanej kvalite vrátane dopravy do sídla </w:t>
      </w:r>
      <w:r>
        <w:rPr>
          <w:b w:val="0"/>
          <w:iCs/>
        </w:rPr>
        <w:t>objednávateľa</w:t>
      </w:r>
      <w:r>
        <w:rPr>
          <w:b w:val="0"/>
        </w:rPr>
        <w:t>.</w:t>
      </w:r>
    </w:p>
    <w:p w:rsidR="00D4266B" w:rsidRDefault="00017E40">
      <w:pPr>
        <w:pStyle w:val="Standard"/>
        <w:numPr>
          <w:ilvl w:val="1"/>
          <w:numId w:val="6"/>
        </w:numPr>
        <w:tabs>
          <w:tab w:val="left" w:pos="717"/>
        </w:tabs>
        <w:spacing w:after="120"/>
        <w:ind w:left="357" w:hanging="357"/>
        <w:jc w:val="both"/>
      </w:pPr>
      <w:r>
        <w:rPr>
          <w:b w:val="0"/>
          <w:iCs/>
        </w:rPr>
        <w:t xml:space="preserve">Zhotoviteľ </w:t>
      </w:r>
      <w:r>
        <w:rPr>
          <w:b w:val="0"/>
        </w:rPr>
        <w:t xml:space="preserve">oznámi </w:t>
      </w:r>
      <w:r>
        <w:rPr>
          <w:b w:val="0"/>
          <w:iCs/>
        </w:rPr>
        <w:t>objednávateľovi</w:t>
      </w:r>
      <w:r>
        <w:rPr>
          <w:b w:val="0"/>
        </w:rPr>
        <w:t xml:space="preserve"> najneskôr 3 pracovné dni vopred termín dodávky a inštalácie.</w:t>
      </w:r>
    </w:p>
    <w:p w:rsidR="00D4266B" w:rsidRDefault="00017E40">
      <w:pPr>
        <w:pStyle w:val="Standard"/>
        <w:numPr>
          <w:ilvl w:val="1"/>
          <w:numId w:val="6"/>
        </w:numPr>
        <w:tabs>
          <w:tab w:val="left" w:pos="717"/>
        </w:tabs>
        <w:ind w:left="357" w:hanging="357"/>
        <w:jc w:val="both"/>
        <w:rPr>
          <w:b w:val="0"/>
          <w:iCs/>
        </w:rPr>
      </w:pPr>
      <w:r>
        <w:rPr>
          <w:b w:val="0"/>
          <w:iCs/>
        </w:rPr>
        <w:t>Presný postup inštalácie bu</w:t>
      </w:r>
      <w:r>
        <w:rPr>
          <w:b w:val="0"/>
          <w:iCs/>
        </w:rPr>
        <w:t xml:space="preserve">de obojstranne </w:t>
      </w:r>
      <w:proofErr w:type="spellStart"/>
      <w:r>
        <w:rPr>
          <w:b w:val="0"/>
          <w:iCs/>
        </w:rPr>
        <w:t>prejednaný</w:t>
      </w:r>
      <w:proofErr w:type="spellEnd"/>
      <w:r>
        <w:rPr>
          <w:b w:val="0"/>
          <w:iCs/>
        </w:rPr>
        <w:t xml:space="preserve"> a odsúhlasený do 15 dní od platnosti tejto zmluvy /nutnosť odstavenia Informačného Systému objednávateľa počas inštalácie, a pod./.</w:t>
      </w:r>
    </w:p>
    <w:p w:rsidR="00D4266B" w:rsidRDefault="00D4266B">
      <w:pPr>
        <w:pStyle w:val="Standard"/>
      </w:pPr>
    </w:p>
    <w:p w:rsidR="00D4266B" w:rsidRDefault="00017E40">
      <w:pPr>
        <w:pStyle w:val="Nadpis1"/>
        <w:spacing w:before="240" w:after="120"/>
      </w:pPr>
      <w:r>
        <w:rPr>
          <w:rFonts w:ascii="Arial" w:hAnsi="Arial" w:cs="Arial"/>
          <w:i w:val="0"/>
          <w:sz w:val="22"/>
          <w:szCs w:val="22"/>
        </w:rPr>
        <w:t>Článok 7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Vyššia moc</w:t>
      </w:r>
    </w:p>
    <w:p w:rsidR="00D4266B" w:rsidRDefault="00017E40">
      <w:pPr>
        <w:pStyle w:val="Standard"/>
        <w:numPr>
          <w:ilvl w:val="1"/>
          <w:numId w:val="7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>Zmluvné strany budú oslobodené od zodpovednosti za neplnenie predmetu tejto z</w:t>
      </w:r>
      <w:r>
        <w:rPr>
          <w:b w:val="0"/>
        </w:rPr>
        <w:t>mluvy, pokiaľ takéto neplnenie je zavinené pôsobením “vyššej moci”. Definíciou “vyššej moci” sa rozumejú najmä požiar, zemetrasenie, havária, štrajk, embargo, administratívne opatrenia štátu a iné také udalosti, ktoré zmluvné strany nemohli za normálnych o</w:t>
      </w:r>
      <w:r>
        <w:rPr>
          <w:b w:val="0"/>
        </w:rPr>
        <w:t>kolností predvídať, a ktorým nemohli pri použití obvyklých prostriedkov a opatrení zabrániť.</w:t>
      </w:r>
    </w:p>
    <w:p w:rsidR="00D4266B" w:rsidRDefault="00017E40">
      <w:pPr>
        <w:pStyle w:val="Standard"/>
        <w:numPr>
          <w:ilvl w:val="1"/>
          <w:numId w:val="7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>O začatí ako aj o pominutí pôsobenia “Vyššej moci” sú zmluvné strany povinné sa vzájomne bez meškania písomne informovať. Oslobodenie od zodpovednosti za neplnenie</w:t>
      </w:r>
      <w:r>
        <w:rPr>
          <w:b w:val="0"/>
        </w:rPr>
        <w:t xml:space="preserve"> predmetu zmluvy trvá po dobu pôsobenia “Vyššej moci”, najviac však 1 mesiac. Po uplynutí tejto doby sa zmluvné strany dohodnú na ďalšom postupe a prípadne na vzájomnom odstúpení od tejto zmluvy.</w:t>
      </w:r>
    </w:p>
    <w:p w:rsidR="00D4266B" w:rsidRDefault="00D4266B">
      <w:pPr>
        <w:pStyle w:val="Standard"/>
      </w:pPr>
    </w:p>
    <w:p w:rsidR="00D4266B" w:rsidRDefault="00017E40">
      <w:pPr>
        <w:pStyle w:val="Nadpis1"/>
        <w:spacing w:before="240" w:after="120"/>
      </w:pPr>
      <w:r>
        <w:rPr>
          <w:rFonts w:ascii="Arial" w:hAnsi="Arial" w:cs="Arial"/>
          <w:i w:val="0"/>
          <w:sz w:val="22"/>
          <w:szCs w:val="22"/>
        </w:rPr>
        <w:lastRenderedPageBreak/>
        <w:t>Článok 8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Protokolárne odovzdanie</w:t>
      </w:r>
    </w:p>
    <w:p w:rsidR="00D4266B" w:rsidRDefault="00017E40">
      <w:pPr>
        <w:pStyle w:val="Standard"/>
        <w:numPr>
          <w:ilvl w:val="1"/>
          <w:numId w:val="8"/>
        </w:numPr>
        <w:tabs>
          <w:tab w:val="left" w:pos="717"/>
        </w:tabs>
        <w:ind w:left="357" w:hanging="357"/>
        <w:jc w:val="both"/>
        <w:rPr>
          <w:b w:val="0"/>
        </w:rPr>
      </w:pPr>
      <w:r>
        <w:rPr>
          <w:b w:val="0"/>
        </w:rPr>
        <w:t xml:space="preserve">Splnenie dodávky predmetu </w:t>
      </w:r>
      <w:r>
        <w:rPr>
          <w:b w:val="0"/>
        </w:rPr>
        <w:t>zmluvy potvrdia splnomocnení zástupcovia oboch zmluvných strán bez meškania svojimi podpismi na odovzdávajúcom protokole.</w:t>
      </w:r>
    </w:p>
    <w:p w:rsidR="00D4266B" w:rsidRDefault="00D4266B">
      <w:pPr>
        <w:pStyle w:val="Standard"/>
      </w:pPr>
    </w:p>
    <w:p w:rsidR="00D4266B" w:rsidRDefault="00017E40">
      <w:pPr>
        <w:pStyle w:val="Nadpis1"/>
        <w:spacing w:before="240" w:after="120"/>
      </w:pPr>
      <w:r>
        <w:rPr>
          <w:rFonts w:ascii="Arial" w:hAnsi="Arial" w:cs="Arial"/>
          <w:i w:val="0"/>
          <w:sz w:val="22"/>
          <w:szCs w:val="22"/>
        </w:rPr>
        <w:t>Článok 9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  <w:u w:val="single"/>
        </w:rPr>
        <w:t>Záverečné ustanovenia</w:t>
      </w:r>
    </w:p>
    <w:p w:rsidR="00D4266B" w:rsidRDefault="00017E40">
      <w:pPr>
        <w:pStyle w:val="Standard"/>
        <w:numPr>
          <w:ilvl w:val="1"/>
          <w:numId w:val="9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 xml:space="preserve">Pokiaľ táto zmluva nestanovuje inak, budú sa vzájomné vzťahy zmluvných strán vrátane </w:t>
      </w:r>
      <w:r>
        <w:rPr>
          <w:b w:val="0"/>
        </w:rPr>
        <w:t>prípadných sporov riadiť príslušnými ustanoveniami Obchodného zákonníka.</w:t>
      </w:r>
    </w:p>
    <w:p w:rsidR="00D4266B" w:rsidRDefault="00017E40">
      <w:pPr>
        <w:pStyle w:val="Standard"/>
        <w:numPr>
          <w:ilvl w:val="1"/>
          <w:numId w:val="9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 xml:space="preserve">Táto zmluva je vyhotovená v štyroch (4) exemplároch, z ktorých jeden (1) je pre zhotoviteľa a tri (3) pre objednávateľa. Akékoľvek zmeny a doplnky je možné urobiť výlučne so súhlasom </w:t>
      </w:r>
      <w:r>
        <w:rPr>
          <w:b w:val="0"/>
        </w:rPr>
        <w:t>oboch zmluvných strán písomne, a to formou písomného dodatku k tejto zmluve.</w:t>
      </w:r>
    </w:p>
    <w:p w:rsidR="00D4266B" w:rsidRDefault="00017E40">
      <w:pPr>
        <w:pStyle w:val="Standard"/>
        <w:numPr>
          <w:ilvl w:val="1"/>
          <w:numId w:val="9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>Táto zmluva nadobúda platnosť dňom jej podpisu oboma zmluvnými stranami. Účinnosť nadobúda dňom nasledujúcim po dni jej zverejnenia na webovom sídle objednávateľa.</w:t>
      </w:r>
    </w:p>
    <w:p w:rsidR="00D4266B" w:rsidRDefault="00017E40">
      <w:pPr>
        <w:pStyle w:val="Standard"/>
        <w:numPr>
          <w:ilvl w:val="1"/>
          <w:numId w:val="9"/>
        </w:numPr>
        <w:tabs>
          <w:tab w:val="left" w:pos="717"/>
        </w:tabs>
        <w:spacing w:after="120"/>
        <w:ind w:left="357" w:hanging="357"/>
        <w:jc w:val="both"/>
        <w:rPr>
          <w:b w:val="0"/>
        </w:rPr>
      </w:pPr>
      <w:r>
        <w:rPr>
          <w:b w:val="0"/>
        </w:rPr>
        <w:t>Na znak súhlasu</w:t>
      </w:r>
      <w:r>
        <w:rPr>
          <w:b w:val="0"/>
        </w:rPr>
        <w:t xml:space="preserve"> so všetkými jej ustanoveniami bola táto zmluva podpísaná zástupcami oboch strán.</w:t>
      </w:r>
      <w:r>
        <w:rPr>
          <w:b w:val="0"/>
        </w:rPr>
        <w:tab/>
      </w:r>
    </w:p>
    <w:p w:rsidR="00D4266B" w:rsidRDefault="00D4266B">
      <w:pPr>
        <w:pStyle w:val="Standard"/>
        <w:tabs>
          <w:tab w:val="left" w:pos="360"/>
        </w:tabs>
        <w:spacing w:after="120"/>
        <w:jc w:val="both"/>
        <w:rPr>
          <w:b w:val="0"/>
        </w:rPr>
      </w:pPr>
    </w:p>
    <w:p w:rsidR="00D4266B" w:rsidRDefault="00D4266B">
      <w:pPr>
        <w:pStyle w:val="Standard"/>
        <w:jc w:val="both"/>
        <w:rPr>
          <w:b w:val="0"/>
          <w:bCs w:val="0"/>
          <w:sz w:val="22"/>
          <w:szCs w:val="24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"/>
        <w:gridCol w:w="4772"/>
        <w:gridCol w:w="4772"/>
      </w:tblGrid>
      <w:tr w:rsidR="00D4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  <w:jc w:val="both"/>
              <w:rPr>
                <w:b w:val="0"/>
                <w:bCs w:val="0"/>
                <w:sz w:val="22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017E40">
            <w:pPr>
              <w:pStyle w:val="Standard"/>
              <w:rPr>
                <w:caps/>
              </w:rPr>
            </w:pPr>
            <w:r>
              <w:rPr>
                <w:caps/>
              </w:rPr>
              <w:t>ZA zhotoviteľa :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017E40">
            <w:pPr>
              <w:pStyle w:val="Standard"/>
            </w:pPr>
            <w:r>
              <w:t>ZA OBJEDNÁVATEĽA :</w:t>
            </w:r>
          </w:p>
        </w:tc>
      </w:tr>
      <w:tr w:rsidR="00D4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  <w:jc w:val="center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>___________________________</w:t>
            </w:r>
          </w:p>
          <w:p w:rsidR="00D4266B" w:rsidRDefault="00D4266B">
            <w:pPr>
              <w:pStyle w:val="Standard"/>
              <w:jc w:val="center"/>
              <w:rPr>
                <w:b w:val="0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017E40">
            <w:pPr>
              <w:pStyle w:val="Standard"/>
              <w:rPr>
                <w:b w:val="0"/>
              </w:rPr>
            </w:pPr>
            <w:r>
              <w:rPr>
                <w:b w:val="0"/>
              </w:rPr>
              <w:t xml:space="preserve">           ______________________</w:t>
            </w:r>
            <w:r w:rsidR="001C732D">
              <w:rPr>
                <w:b w:val="0"/>
              </w:rPr>
              <w:t>_</w:t>
            </w:r>
            <w:r>
              <w:rPr>
                <w:b w:val="0"/>
              </w:rPr>
              <w:t>_</w:t>
            </w:r>
            <w:r w:rsidR="001C732D">
              <w:rPr>
                <w:b w:val="0"/>
              </w:rPr>
              <w:t>_</w:t>
            </w:r>
            <w:bookmarkStart w:id="0" w:name="_GoBack"/>
            <w:bookmarkEnd w:id="0"/>
            <w:r>
              <w:rPr>
                <w:b w:val="0"/>
              </w:rPr>
              <w:t>___</w:t>
            </w:r>
          </w:p>
          <w:p w:rsidR="00D4266B" w:rsidRDefault="00D4266B">
            <w:pPr>
              <w:pStyle w:val="Standard"/>
              <w:jc w:val="center"/>
              <w:rPr>
                <w:b w:val="0"/>
                <w:i/>
                <w:iCs/>
              </w:rPr>
            </w:pPr>
          </w:p>
        </w:tc>
      </w:tr>
      <w:tr w:rsidR="00D4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</w:pPr>
          </w:p>
        </w:tc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D4266B">
            <w:pPr>
              <w:pStyle w:val="Standard"/>
              <w:rPr>
                <w:b w:val="0"/>
              </w:rPr>
            </w:pPr>
          </w:p>
          <w:p w:rsidR="00D4266B" w:rsidRDefault="00017E40">
            <w:pPr>
              <w:pStyle w:val="Standard"/>
            </w:pPr>
            <w:r>
              <w:rPr>
                <w:b w:val="0"/>
              </w:rPr>
              <w:t xml:space="preserve">V ......................... dňa : </w:t>
            </w:r>
            <w:r>
              <w:rPr>
                <w:b w:val="0"/>
                <w:lang w:val="en-US"/>
              </w:rPr>
              <w:t>______</w:t>
            </w:r>
            <w:r>
              <w:rPr>
                <w:b w:val="0"/>
              </w:rPr>
              <w:t xml:space="preserve">                                              </w:t>
            </w:r>
            <w:r w:rsidR="00137C6B">
              <w:rPr>
                <w:b w:val="0"/>
              </w:rPr>
              <w:t xml:space="preserve">    </w:t>
            </w:r>
            <w:r w:rsidR="001C732D">
              <w:rPr>
                <w:b w:val="0"/>
              </w:rPr>
              <w:t xml:space="preserve">  </w:t>
            </w:r>
            <w:r w:rsidR="001C732D">
              <w:rPr>
                <w:b w:val="0"/>
              </w:rPr>
              <w:t xml:space="preserve">V ......................... dňa : </w:t>
            </w:r>
            <w:r w:rsidR="001C732D">
              <w:rPr>
                <w:b w:val="0"/>
                <w:lang w:val="en-US"/>
              </w:rPr>
              <w:t>______</w:t>
            </w:r>
          </w:p>
          <w:p w:rsidR="00D4266B" w:rsidRDefault="00D4266B">
            <w:pPr>
              <w:pStyle w:val="Standard"/>
              <w:rPr>
                <w:b w:val="0"/>
              </w:rPr>
            </w:pPr>
          </w:p>
        </w:tc>
      </w:tr>
      <w:tr w:rsidR="00D4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</w:pPr>
          </w:p>
        </w:tc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  <w:rPr>
                <w:b w:val="0"/>
              </w:rPr>
            </w:pPr>
          </w:p>
        </w:tc>
      </w:tr>
      <w:tr w:rsidR="00D4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</w:pPr>
          </w:p>
        </w:tc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66B" w:rsidRDefault="00D4266B">
            <w:pPr>
              <w:pStyle w:val="Standard"/>
              <w:rPr>
                <w:b w:val="0"/>
              </w:rPr>
            </w:pPr>
          </w:p>
        </w:tc>
      </w:tr>
    </w:tbl>
    <w:p w:rsidR="00D4266B" w:rsidRDefault="00D4266B">
      <w:pPr>
        <w:pStyle w:val="Standard"/>
        <w:rPr>
          <w:b w:val="0"/>
          <w:bCs w:val="0"/>
          <w:sz w:val="24"/>
          <w:szCs w:val="24"/>
        </w:rPr>
      </w:pPr>
    </w:p>
    <w:p w:rsidR="00D4266B" w:rsidRDefault="00D4266B">
      <w:pPr>
        <w:pStyle w:val="Standard"/>
        <w:rPr>
          <w:b w:val="0"/>
          <w:bCs w:val="0"/>
          <w:sz w:val="24"/>
          <w:szCs w:val="24"/>
        </w:rPr>
      </w:pPr>
    </w:p>
    <w:p w:rsidR="00D4266B" w:rsidRDefault="00D4266B">
      <w:pPr>
        <w:pStyle w:val="Nadpis"/>
        <w:ind w:left="708" w:firstLine="708"/>
        <w:rPr>
          <w:rFonts w:ascii="Arial" w:hAnsi="Arial"/>
          <w:bCs/>
          <w:sz w:val="24"/>
          <w:szCs w:val="24"/>
          <w:lang w:val="sk-SK"/>
        </w:rPr>
      </w:pPr>
    </w:p>
    <w:p w:rsidR="00D4266B" w:rsidRDefault="00D4266B">
      <w:pPr>
        <w:pStyle w:val="Standard"/>
        <w:jc w:val="both"/>
        <w:rPr>
          <w:b w:val="0"/>
          <w:sz w:val="18"/>
          <w:szCs w:val="18"/>
        </w:rPr>
      </w:pPr>
      <w:bookmarkStart w:id="1" w:name="OLE_LINK1"/>
      <w:bookmarkStart w:id="2" w:name="OLE_LINK2"/>
      <w:bookmarkEnd w:id="1"/>
      <w:bookmarkEnd w:id="2"/>
    </w:p>
    <w:p w:rsidR="00D4266B" w:rsidRDefault="00D4266B">
      <w:pPr>
        <w:pStyle w:val="Standard"/>
      </w:pPr>
    </w:p>
    <w:sectPr w:rsidR="00D4266B">
      <w:footerReference w:type="default" r:id="rId7"/>
      <w:footerReference w:type="first" r:id="rId8"/>
      <w:pgSz w:w="11906" w:h="16838"/>
      <w:pgMar w:top="1021" w:right="1134" w:bottom="1134" w:left="1418" w:header="708" w:footer="1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40" w:rsidRDefault="00017E40">
      <w:r>
        <w:separator/>
      </w:r>
    </w:p>
  </w:endnote>
  <w:endnote w:type="continuationSeparator" w:id="0">
    <w:p w:rsidR="00017E40" w:rsidRDefault="000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C3F" w:rsidRDefault="00017E40">
    <w:pPr>
      <w:pStyle w:val="Standard"/>
      <w:ind w:right="-648"/>
      <w:rPr>
        <w:b w:val="0"/>
        <w:bCs w:val="0"/>
        <w:i/>
        <w:sz w:val="18"/>
      </w:rPr>
    </w:pPr>
  </w:p>
  <w:p w:rsidR="00BD0C3F" w:rsidRDefault="00017E40">
    <w:pPr>
      <w:pStyle w:val="Standard"/>
      <w:ind w:right="-648"/>
      <w:rPr>
        <w:b w:val="0"/>
        <w:bCs w:val="0"/>
        <w:i/>
        <w:sz w:val="18"/>
      </w:rPr>
    </w:pPr>
  </w:p>
  <w:p w:rsidR="00BD0C3F" w:rsidRDefault="00017E40">
    <w:pPr>
      <w:pStyle w:val="Standard"/>
      <w:ind w:right="-64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-227880</wp:posOffset>
              </wp:positionH>
              <wp:positionV relativeFrom="paragraph">
                <wp:posOffset>-128160</wp:posOffset>
              </wp:positionV>
              <wp:extent cx="6172200" cy="720"/>
              <wp:effectExtent l="0" t="0" r="19050" b="37380"/>
              <wp:wrapNone/>
              <wp:docPr id="1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72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7DD087" id="Rovná spojnica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-10.1pt" to="468.0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" strokeweight=".26mm"/>
          </w:pict>
        </mc:Fallback>
      </mc:AlternateContent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 xml:space="preserve">                                              </w:t>
    </w:r>
    <w:r>
      <w:rPr>
        <w:b w:val="0"/>
        <w:bCs w:val="0"/>
        <w:i/>
        <w:sz w:val="18"/>
      </w:rPr>
      <w:tab/>
      <w:t xml:space="preserve">                   </w:t>
    </w:r>
    <w:r>
      <w:rPr>
        <w:b w:val="0"/>
        <w:bCs w:val="0"/>
      </w:rPr>
      <w:t xml:space="preserve">Strana </w:t>
    </w:r>
    <w:r>
      <w:rPr>
        <w:rStyle w:val="slostrany"/>
        <w:b w:val="0"/>
      </w:rPr>
      <w:fldChar w:fldCharType="begin"/>
    </w:r>
    <w:r>
      <w:rPr>
        <w:rStyle w:val="slostrany"/>
        <w:b w:val="0"/>
      </w:rPr>
      <w:instrText xml:space="preserve"> PAGE </w:instrText>
    </w:r>
    <w:r>
      <w:rPr>
        <w:rStyle w:val="slostrany"/>
        <w:b w:val="0"/>
      </w:rPr>
      <w:fldChar w:fldCharType="separate"/>
    </w:r>
    <w:r>
      <w:rPr>
        <w:rStyle w:val="slostrany"/>
        <w:b w:val="0"/>
      </w:rPr>
      <w:t>3</w:t>
    </w:r>
    <w:r>
      <w:rPr>
        <w:rStyle w:val="slostrany"/>
        <w:b w:val="0"/>
      </w:rPr>
      <w:fldChar w:fldCharType="end"/>
    </w:r>
    <w:r>
      <w:rPr>
        <w:rStyle w:val="slostrany"/>
        <w:b w:val="0"/>
      </w:rPr>
      <w:t>/</w:t>
    </w:r>
    <w:r>
      <w:rPr>
        <w:rStyle w:val="slostrany"/>
        <w:b w:val="0"/>
      </w:rPr>
      <w:fldChar w:fldCharType="begin"/>
    </w:r>
    <w:r>
      <w:rPr>
        <w:rStyle w:val="slostrany"/>
        <w:b w:val="0"/>
      </w:rPr>
      <w:instrText xml:space="preserve"> NUMPAGES </w:instrText>
    </w:r>
    <w:r>
      <w:rPr>
        <w:rStyle w:val="slostrany"/>
        <w:b w:val="0"/>
      </w:rPr>
      <w:fldChar w:fldCharType="separate"/>
    </w:r>
    <w:r>
      <w:rPr>
        <w:rStyle w:val="slostrany"/>
        <w:b w:val="0"/>
      </w:rPr>
      <w:t>3</w:t>
    </w:r>
    <w:r>
      <w:rPr>
        <w:rStyle w:val="slostrany"/>
        <w:b w:val="0"/>
      </w:rPr>
      <w:fldChar w:fldCharType="end"/>
    </w:r>
  </w:p>
  <w:p w:rsidR="00BD0C3F" w:rsidRDefault="00017E40">
    <w:pPr>
      <w:pStyle w:val="Pta"/>
      <w:tabs>
        <w:tab w:val="left" w:pos="1440"/>
      </w:tabs>
      <w:ind w:right="360"/>
      <w:rPr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C3F" w:rsidRDefault="00017E40">
    <w:pPr>
      <w:pStyle w:val="Standard"/>
      <w:ind w:right="-648"/>
      <w:rPr>
        <w:b w:val="0"/>
        <w:bCs w:val="0"/>
        <w:i/>
        <w:sz w:val="18"/>
      </w:rPr>
    </w:pPr>
    <w:r>
      <w:rPr>
        <w:b w:val="0"/>
        <w:bCs w:val="0"/>
        <w:i/>
        <w:noProof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-227880</wp:posOffset>
              </wp:positionH>
              <wp:positionV relativeFrom="paragraph">
                <wp:posOffset>118080</wp:posOffset>
              </wp:positionV>
              <wp:extent cx="6172200" cy="720"/>
              <wp:effectExtent l="0" t="0" r="19050" b="37380"/>
              <wp:wrapNone/>
              <wp:docPr id="2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72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6869D1" id="Rovná spojnica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.3pt" to="46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" strokeweight=".26mm"/>
          </w:pict>
        </mc:Fallback>
      </mc:AlternateContent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  <w:r>
      <w:rPr>
        <w:b w:val="0"/>
        <w:bCs w:val="0"/>
        <w:i/>
        <w:sz w:val="18"/>
      </w:rPr>
      <w:tab/>
    </w:r>
  </w:p>
  <w:p w:rsidR="00BD0C3F" w:rsidRDefault="00017E40">
    <w:pPr>
      <w:pStyle w:val="Standard"/>
      <w:ind w:right="-470"/>
      <w:rPr>
        <w:b w:val="0"/>
        <w:i/>
        <w:sz w:val="18"/>
        <w:szCs w:val="22"/>
      </w:rPr>
    </w:pPr>
  </w:p>
  <w:p w:rsidR="00BD0C3F" w:rsidRDefault="00017E40">
    <w:pPr>
      <w:pStyle w:val="Standard"/>
      <w:ind w:right="-470"/>
    </w:pPr>
    <w:r>
      <w:rPr>
        <w:b w:val="0"/>
        <w:i/>
        <w:sz w:val="18"/>
        <w:szCs w:val="18"/>
      </w:rPr>
      <w:t xml:space="preserve">   </w:t>
    </w:r>
    <w:r>
      <w:rPr>
        <w:b w:val="0"/>
        <w:i/>
        <w:sz w:val="14"/>
        <w:szCs w:val="14"/>
      </w:rPr>
      <w:tab/>
    </w:r>
    <w:r>
      <w:rPr>
        <w:b w:val="0"/>
        <w:i/>
        <w:sz w:val="14"/>
        <w:szCs w:val="14"/>
      </w:rPr>
      <w:tab/>
    </w:r>
    <w:r>
      <w:rPr>
        <w:b w:val="0"/>
        <w:i/>
        <w:sz w:val="14"/>
        <w:szCs w:val="14"/>
      </w:rPr>
      <w:tab/>
    </w:r>
    <w:r>
      <w:rPr>
        <w:b w:val="0"/>
        <w:i/>
        <w:sz w:val="14"/>
        <w:szCs w:val="14"/>
      </w:rPr>
      <w:tab/>
    </w:r>
    <w:r>
      <w:rPr>
        <w:b w:val="0"/>
        <w:i/>
        <w:sz w:val="14"/>
        <w:szCs w:val="14"/>
      </w:rPr>
      <w:tab/>
    </w:r>
    <w:r>
      <w:rPr>
        <w:b w:val="0"/>
        <w:i/>
        <w:sz w:val="14"/>
        <w:szCs w:val="14"/>
      </w:rPr>
      <w:tab/>
    </w:r>
    <w:r>
      <w:rPr>
        <w:b w:val="0"/>
        <w:i/>
        <w:sz w:val="14"/>
        <w:szCs w:val="14"/>
      </w:rPr>
      <w:tab/>
      <w:t xml:space="preserve">                                                                                 </w:t>
    </w:r>
    <w:r>
      <w:rPr>
        <w:b w:val="0"/>
        <w:bCs w:val="0"/>
      </w:rPr>
      <w:t xml:space="preserve">Strana  </w:t>
    </w:r>
    <w:r>
      <w:rPr>
        <w:rStyle w:val="slostrany"/>
        <w:b w:val="0"/>
      </w:rPr>
      <w:fldChar w:fldCharType="begin"/>
    </w:r>
    <w:r>
      <w:rPr>
        <w:rStyle w:val="slostrany"/>
        <w:b w:val="0"/>
      </w:rPr>
      <w:instrText xml:space="preserve"> PAGE </w:instrText>
    </w:r>
    <w:r>
      <w:rPr>
        <w:rStyle w:val="slostrany"/>
        <w:b w:val="0"/>
      </w:rPr>
      <w:fldChar w:fldCharType="separate"/>
    </w:r>
    <w:r>
      <w:rPr>
        <w:rStyle w:val="slostrany"/>
        <w:b w:val="0"/>
      </w:rPr>
      <w:t>1</w:t>
    </w:r>
    <w:r>
      <w:rPr>
        <w:rStyle w:val="slostrany"/>
        <w:b w:val="0"/>
      </w:rPr>
      <w:fldChar w:fldCharType="end"/>
    </w:r>
    <w:r>
      <w:rPr>
        <w:rStyle w:val="slostrany"/>
        <w:b w:val="0"/>
      </w:rPr>
      <w:t>/</w:t>
    </w:r>
    <w:r>
      <w:rPr>
        <w:rStyle w:val="slostrany"/>
        <w:b w:val="0"/>
      </w:rPr>
      <w:fldChar w:fldCharType="begin"/>
    </w:r>
    <w:r>
      <w:rPr>
        <w:rStyle w:val="slostrany"/>
        <w:b w:val="0"/>
      </w:rPr>
      <w:instrText xml:space="preserve"> NUMPAGES </w:instrText>
    </w:r>
    <w:r>
      <w:rPr>
        <w:rStyle w:val="slostrany"/>
        <w:b w:val="0"/>
      </w:rPr>
      <w:fldChar w:fldCharType="separate"/>
    </w:r>
    <w:r>
      <w:rPr>
        <w:rStyle w:val="slostrany"/>
        <w:b w:val="0"/>
      </w:rPr>
      <w:t>3</w:t>
    </w:r>
    <w:r>
      <w:rPr>
        <w:rStyle w:val="slostrany"/>
        <w:b w:val="0"/>
      </w:rPr>
      <w:fldChar w:fldCharType="end"/>
    </w:r>
  </w:p>
  <w:p w:rsidR="00BD0C3F" w:rsidRDefault="00017E40">
    <w:pPr>
      <w:pStyle w:val="Pta"/>
      <w:tabs>
        <w:tab w:val="left" w:pos="1440"/>
      </w:tabs>
      <w:ind w:right="360"/>
      <w:rPr>
        <w:b w:val="0"/>
        <w:bCs w:val="0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40" w:rsidRDefault="00017E40">
      <w:r>
        <w:rPr>
          <w:color w:val="000000"/>
        </w:rPr>
        <w:separator/>
      </w:r>
    </w:p>
  </w:footnote>
  <w:footnote w:type="continuationSeparator" w:id="0">
    <w:p w:rsidR="00017E40" w:rsidRDefault="0001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AD7"/>
    <w:multiLevelType w:val="multilevel"/>
    <w:tmpl w:val="71F0793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6DC7880"/>
    <w:multiLevelType w:val="multilevel"/>
    <w:tmpl w:val="1960B7BC"/>
    <w:styleLink w:val="WWNum9"/>
    <w:lvl w:ilvl="0">
      <w:numFmt w:val="bullet"/>
      <w:lvlText w:val="-"/>
      <w:lvlJc w:val="left"/>
      <w:pPr>
        <w:ind w:left="786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506" w:hanging="360"/>
      </w:pPr>
      <w:rPr>
        <w:rFonts w:cs="Courier New"/>
      </w:rPr>
    </w:lvl>
    <w:lvl w:ilvl="2">
      <w:numFmt w:val="bullet"/>
      <w:lvlText w:val=""/>
      <w:lvlJc w:val="left"/>
      <w:pPr>
        <w:ind w:left="2226" w:hanging="360"/>
      </w:pPr>
    </w:lvl>
    <w:lvl w:ilvl="3">
      <w:numFmt w:val="bullet"/>
      <w:lvlText w:val=""/>
      <w:lvlJc w:val="left"/>
      <w:pPr>
        <w:ind w:left="2946" w:hanging="360"/>
      </w:pPr>
    </w:lvl>
    <w:lvl w:ilvl="4">
      <w:numFmt w:val="bullet"/>
      <w:lvlText w:val="o"/>
      <w:lvlJc w:val="left"/>
      <w:pPr>
        <w:ind w:left="3666" w:hanging="360"/>
      </w:pPr>
      <w:rPr>
        <w:rFonts w:cs="Courier New"/>
      </w:rPr>
    </w:lvl>
    <w:lvl w:ilvl="5">
      <w:numFmt w:val="bullet"/>
      <w:lvlText w:val=""/>
      <w:lvlJc w:val="left"/>
      <w:pPr>
        <w:ind w:left="4386" w:hanging="360"/>
      </w:pPr>
    </w:lvl>
    <w:lvl w:ilvl="6">
      <w:numFmt w:val="bullet"/>
      <w:lvlText w:val=""/>
      <w:lvlJc w:val="left"/>
      <w:pPr>
        <w:ind w:left="5106" w:hanging="360"/>
      </w:pPr>
    </w:lvl>
    <w:lvl w:ilvl="7">
      <w:numFmt w:val="bullet"/>
      <w:lvlText w:val="o"/>
      <w:lvlJc w:val="left"/>
      <w:pPr>
        <w:ind w:left="5826" w:hanging="360"/>
      </w:pPr>
      <w:rPr>
        <w:rFonts w:cs="Courier New"/>
      </w:rPr>
    </w:lvl>
    <w:lvl w:ilvl="8">
      <w:numFmt w:val="bullet"/>
      <w:lvlText w:val=""/>
      <w:lvlJc w:val="left"/>
      <w:pPr>
        <w:ind w:left="6546" w:hanging="360"/>
      </w:pPr>
    </w:lvl>
  </w:abstractNum>
  <w:abstractNum w:abstractNumId="2" w15:restartNumberingAfterBreak="0">
    <w:nsid w:val="275D5DEE"/>
    <w:multiLevelType w:val="multilevel"/>
    <w:tmpl w:val="61C081C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94716"/>
    <w:multiLevelType w:val="multilevel"/>
    <w:tmpl w:val="AC76D442"/>
    <w:styleLink w:val="WWNum3"/>
    <w:lvl w:ilvl="0">
      <w:start w:val="4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B7777FB"/>
    <w:multiLevelType w:val="multilevel"/>
    <w:tmpl w:val="78FCE5EA"/>
    <w:styleLink w:val="WWNum6"/>
    <w:lvl w:ilvl="0">
      <w:start w:val="7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3927306"/>
    <w:multiLevelType w:val="multilevel"/>
    <w:tmpl w:val="EABE3CC2"/>
    <w:styleLink w:val="WWNum8"/>
    <w:lvl w:ilvl="0">
      <w:start w:val="9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B85579A"/>
    <w:multiLevelType w:val="multilevel"/>
    <w:tmpl w:val="CF4C2FAC"/>
    <w:styleLink w:val="WWNum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F6F6009"/>
    <w:multiLevelType w:val="multilevel"/>
    <w:tmpl w:val="3DB012A2"/>
    <w:styleLink w:val="WWNum4"/>
    <w:lvl w:ilvl="0">
      <w:start w:val="5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666260B"/>
    <w:multiLevelType w:val="multilevel"/>
    <w:tmpl w:val="46F81024"/>
    <w:styleLink w:val="WWNum11"/>
    <w:lvl w:ilvl="0">
      <w:start w:val="2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6CA2A6C"/>
    <w:multiLevelType w:val="multilevel"/>
    <w:tmpl w:val="7B0AB456"/>
    <w:styleLink w:val="WWNum1"/>
    <w:lvl w:ilvl="0">
      <w:start w:val="2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CFF53B4"/>
    <w:multiLevelType w:val="multilevel"/>
    <w:tmpl w:val="CABAE9BC"/>
    <w:styleLink w:val="WWNum7"/>
    <w:lvl w:ilvl="0">
      <w:start w:val="8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8005DB4"/>
    <w:multiLevelType w:val="multilevel"/>
    <w:tmpl w:val="386CF884"/>
    <w:styleLink w:val="WWNum5"/>
    <w:lvl w:ilvl="0">
      <w:start w:val="6"/>
      <w:numFmt w:val="decimal"/>
      <w:lvlText w:val="%1"/>
      <w:lvlJc w:val="left"/>
      <w:pPr>
        <w:ind w:left="705" w:hanging="705"/>
      </w:pPr>
      <w:rPr>
        <w:i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</w:rPr>
    </w:lvl>
  </w:abstractNum>
  <w:num w:numId="1">
    <w:abstractNumId w:val="0"/>
  </w:num>
  <w:num w:numId="2">
    <w:abstractNumId w:val="9"/>
  </w:num>
  <w:num w:numId="3">
    <w:abstractNumId w:val="6"/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4">
    <w:abstractNumId w:val="3"/>
    <w:lvlOverride w:ilvl="1">
      <w:lvl w:ilvl="1">
        <w:start w:val="1"/>
        <w:numFmt w:val="decimal"/>
        <w:lvlText w:val="%1.%2"/>
        <w:lvlJc w:val="left"/>
        <w:pPr>
          <w:ind w:left="705" w:hanging="705"/>
        </w:pPr>
        <w:rPr>
          <w:b w:val="0"/>
          <w:bCs w:val="0"/>
        </w:rPr>
      </w:lvl>
    </w:lvlOverride>
  </w:num>
  <w:num w:numId="5">
    <w:abstractNumId w:val="7"/>
    <w:lvlOverride w:ilvl="1">
      <w:lvl w:ilvl="1">
        <w:start w:val="1"/>
        <w:numFmt w:val="decimal"/>
        <w:lvlText w:val="%1.%2"/>
        <w:lvlJc w:val="left"/>
        <w:pPr>
          <w:ind w:left="705" w:hanging="705"/>
        </w:pPr>
        <w:rPr>
          <w:b w:val="0"/>
          <w:bCs w:val="0"/>
        </w:rPr>
      </w:lvl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266B"/>
    <w:rsid w:val="0001129C"/>
    <w:rsid w:val="00017E40"/>
    <w:rsid w:val="00137C6B"/>
    <w:rsid w:val="001C732D"/>
    <w:rsid w:val="0024494B"/>
    <w:rsid w:val="00250E58"/>
    <w:rsid w:val="00307F0F"/>
    <w:rsid w:val="00354B4C"/>
    <w:rsid w:val="004544F2"/>
    <w:rsid w:val="005728FA"/>
    <w:rsid w:val="0081159E"/>
    <w:rsid w:val="009B4187"/>
    <w:rsid w:val="009D470B"/>
    <w:rsid w:val="00C47EFB"/>
    <w:rsid w:val="00D4266B"/>
    <w:rsid w:val="00DB6481"/>
    <w:rsid w:val="00DF1190"/>
    <w:rsid w:val="00E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C0AD"/>
  <w15:docId w15:val="{D0798C97-DDCB-4552-A8AF-9F22183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rFonts w:ascii="Times New Roman" w:hAnsi="Times New Roman" w:cs="Times New Roman"/>
      <w:b w:val="0"/>
      <w:bCs w:val="0"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0"/>
      </w:tabs>
      <w:jc w:val="both"/>
    </w:pPr>
    <w:rPr>
      <w:rFonts w:ascii="Times New Roman" w:hAnsi="Times New Roman" w:cs="Times New Roman"/>
      <w:b w:val="0"/>
      <w:bCs w:val="0"/>
      <w:sz w:val="24"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Hlavika">
    <w:name w:val="header"/>
    <w:basedOn w:val="Standard"/>
    <w:pPr>
      <w:tabs>
        <w:tab w:val="center" w:pos="4320"/>
        <w:tab w:val="right" w:pos="8640"/>
      </w:tabs>
    </w:pPr>
    <w:rPr>
      <w:b w:val="0"/>
      <w:bCs w:val="0"/>
      <w:lang w:val="en-US"/>
    </w:rPr>
  </w:style>
  <w:style w:type="paragraph" w:customStyle="1" w:styleId="bul1">
    <w:name w:val="bul1"/>
    <w:basedOn w:val="Standard"/>
    <w:pPr>
      <w:ind w:left="708" w:hanging="708"/>
    </w:pPr>
    <w:rPr>
      <w:rFonts w:ascii="Bookman" w:eastAsia="Bookman" w:hAnsi="Bookman" w:cs="Times New Roman"/>
      <w:b w:val="0"/>
      <w:bCs w:val="0"/>
      <w:sz w:val="24"/>
      <w:szCs w:val="24"/>
      <w:lang w:val="en-GB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Standard"/>
    <w:rPr>
      <w:rFonts w:ascii="Helvetica" w:eastAsia="Helvetica" w:hAnsi="Helvetica" w:cs="Times New Roman"/>
      <w:bCs w:val="0"/>
      <w:sz w:val="22"/>
      <w:lang w:val="en-GB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basedOn w:val="Predvolenpsmoodseku"/>
    <w:rPr>
      <w:rFonts w:ascii="Times New Roman" w:eastAsia="Times New Roman" w:hAnsi="Times New Roman" w:cs="Times New Roman"/>
      <w:i/>
      <w:sz w:val="26"/>
      <w:szCs w:val="20"/>
      <w:lang w:eastAsia="sk-SK"/>
    </w:rPr>
  </w:style>
  <w:style w:type="character" w:customStyle="1" w:styleId="HlavikaChar">
    <w:name w:val="Hlavička Char"/>
    <w:basedOn w:val="Predvolenpsmoodseku"/>
    <w:rPr>
      <w:rFonts w:ascii="Arial" w:eastAsia="Times New Roman" w:hAnsi="Arial" w:cs="Arial"/>
      <w:sz w:val="20"/>
      <w:szCs w:val="20"/>
      <w:lang w:val="en-US" w:eastAsia="sk-SK"/>
    </w:rPr>
  </w:style>
  <w:style w:type="character" w:customStyle="1" w:styleId="PtaChar">
    <w:name w:val="Päta Char"/>
    <w:basedOn w:val="Predvolenpsmoodseku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styleId="slostrany">
    <w:name w:val="page number"/>
    <w:basedOn w:val="Predvolenpsmoodseku"/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ListLabel1">
    <w:name w:val="ListLabel 1"/>
    <w:rPr>
      <w:i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i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i/>
    </w:rPr>
  </w:style>
  <w:style w:type="character" w:customStyle="1" w:styleId="ListLabel6">
    <w:name w:val="ListLabel 6"/>
    <w:rPr>
      <w:i/>
    </w:rPr>
  </w:style>
  <w:style w:type="character" w:customStyle="1" w:styleId="ListLabel7">
    <w:name w:val="ListLabel 7"/>
    <w:rPr>
      <w:i/>
    </w:rPr>
  </w:style>
  <w:style w:type="character" w:customStyle="1" w:styleId="ListLabel8">
    <w:name w:val="ListLabel 8"/>
    <w:rPr>
      <w:i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rFonts w:eastAsia="Times New Roman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numbering" w:customStyle="1" w:styleId="WWNum8">
    <w:name w:val="WWNum8"/>
    <w:basedOn w:val="Bezzoznamu"/>
    <w:pPr>
      <w:numPr>
        <w:numId w:val="9"/>
      </w:numPr>
    </w:pPr>
  </w:style>
  <w:style w:type="numbering" w:customStyle="1" w:styleId="WWNum9">
    <w:name w:val="WWNum9"/>
    <w:basedOn w:val="Bezzoznamu"/>
    <w:pPr>
      <w:numPr>
        <w:numId w:val="10"/>
      </w:numPr>
    </w:pPr>
  </w:style>
  <w:style w:type="numbering" w:customStyle="1" w:styleId="WWNum10">
    <w:name w:val="WWNum10"/>
    <w:basedOn w:val="Bezzoznamu"/>
    <w:pPr>
      <w:numPr>
        <w:numId w:val="11"/>
      </w:numPr>
    </w:pPr>
  </w:style>
  <w:style w:type="numbering" w:customStyle="1" w:styleId="WWNum11">
    <w:name w:val="WWNum11"/>
    <w:basedOn w:val="Bezzo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Lenková</cp:lastModifiedBy>
  <cp:revision>2</cp:revision>
  <dcterms:created xsi:type="dcterms:W3CDTF">2020-11-04T14:39:00Z</dcterms:created>
  <dcterms:modified xsi:type="dcterms:W3CDTF">2020-11-04T14:39:00Z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